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Asset Management</w:t>
      </w:r>
    </w:p>
    <w:p>
      <w:pPr>
        <w:keepNext w:val="0"/>
        <w:spacing w:before="0" w:after="200" w:line="240" w:lineRule="auto"/>
      </w:pPr>
      <w:r>
        <w:rPr>
          <w:rFonts w:ascii="Arial" w:hAnsi="Arial" w:cs="Arial" w:eastAsia="Arial"/>
          <w:b w:val="0"/>
          <w:i w:val="0"/>
          <w:color w:val="5B6678"/>
          <w:sz w:val="21"/>
        </w:rPr>
        <w:t>One register of every information asset, with owners, classification and handling rules.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SAMA-14</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keeps one accurate, up-to-date register of all of the information assets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and where they are, so that finance, procurement, IT and cyber security can all rely on it.</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information asset: information, applications, systems, infrastructure, devices, services and the people and places they depend on.</w:t>
      </w:r>
    </w:p>
    <w:p>
      <w:pPr>
        <w:keepNext/>
        <w:spacing w:before="280" w:after="120" w:line="264" w:lineRule="auto"/>
      </w:pPr>
      <w:r>
        <w:rPr>
          <w:rFonts w:ascii="Arial" w:hAnsi="Arial" w:cs="Arial" w:eastAsia="Arial"/>
          <w:b/>
          <w:i w:val="0"/>
          <w:color w:val="1B253B"/>
          <w:sz w:val="28"/>
        </w:rPr>
        <w:t>3. The asset register</w:t>
      </w:r>
    </w:p>
    <w:p>
      <w:pPr>
        <w:keepNext w:val="0"/>
        <w:spacing w:before="0" w:after="120" w:line="276" w:lineRule="auto"/>
      </w:pPr>
      <w:r>
        <w:rPr>
          <w:rFonts w:ascii="Arial" w:hAnsi="Arial" w:cs="Arial" w:eastAsia="Arial"/>
          <w:b w:val="0"/>
          <w:i w:val="0"/>
          <w:sz w:val="21"/>
        </w:rPr>
        <w:t>There is one unified register, kept in the product. Every other process that depends on knowing what the organisation has uses it: risk management, change management, vulnerability management, access management, event monitoring and disposal.</w:t>
      </w:r>
    </w:p>
    <w:tbl>
      <w:tblPr>
        <w:tblStyle w:val="TableGrid"/>
        <w:tblW w:type="auto" w:w="0"/>
        <w:jc w:val="center"/>
        <w:tblLayout w:type="fixed"/>
        <w:tblLook w:firstColumn="1" w:firstRow="1" w:lastColumn="0" w:lastRow="0" w:noHBand="0" w:noVBand="1" w:val="04A0"/>
        <w:tblCaption w:val="source:assets"/>
      </w:tblPr>
      <w:tblGrid>
        <w:gridCol w:w="1529"/>
        <w:gridCol w:w="1529"/>
        <w:gridCol w:w="1529"/>
        <w:gridCol w:w="1529"/>
        <w:gridCol w:w="1529"/>
        <w:gridCol w:w="1529"/>
      </w:tblGrid>
      <w:tr>
        <w:trPr>
          <w:tblHeader w:val="true"/>
        </w:trPr>
        <w:tc>
          <w:tcPr>
            <w:tcW w:type="dxa" w:w="2304"/>
            <w:shd w:val="clear" w:color="auto" w:fill="DCE6F5"/>
          </w:tcPr>
          <w:p>
            <w:pPr>
              <w:keepNext w:val="0"/>
              <w:spacing w:before="40" w:after="40" w:line="240" w:lineRule="auto"/>
            </w:pPr>
            <w:r>
              <w:rPr>
                <w:rFonts w:ascii="Arial" w:hAnsi="Arial" w:cs="Arial" w:eastAsia="Arial"/>
                <w:b/>
                <w:i w:val="0"/>
                <w:color w:val="1B253B"/>
                <w:sz w:val="18"/>
              </w:rPr>
              <w:t>Asset</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Classification</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Criticality</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Location</w:t>
            </w:r>
          </w:p>
        </w:tc>
      </w:tr>
      <w:tr>
        <w:trPr>
          <w:cantSplit w:val="true"/>
        </w:trPr>
        <w:tc>
          <w:tcPr>
            <w:tcW w:type="dxa" w:w="2304"/>
          </w:tcPr>
          <w:p>
            <w:pPr>
              <w:keepNext w:val="0"/>
              <w:spacing w:before="40" w:after="40" w:line="240" w:lineRule="auto"/>
            </w:pPr>
            <w:r>
              <w:rPr>
                <w:rFonts w:ascii="Arial" w:hAnsi="Arial" w:cs="Arial" w:eastAsia="Arial"/>
                <w:b w:val="0"/>
                <w:i w:val="0"/>
                <w:sz w:val="18"/>
                <w:highlight w:val="yellow"/>
              </w:rPr>
              <w:t>&lt;Asset&gt;</w:t>
            </w:r>
          </w:p>
        </w:tc>
        <w:tc>
          <w:tcPr>
            <w:tcW w:type="dxa" w:w="1296"/>
          </w:tcPr>
          <w:p>
            <w:pPr>
              <w:keepNext w:val="0"/>
              <w:spacing w:before="40" w:after="40" w:line="240" w:lineRule="auto"/>
            </w:pPr>
            <w:r>
              <w:rPr>
                <w:rFonts w:ascii="Arial" w:hAnsi="Arial" w:cs="Arial" w:eastAsia="Arial"/>
                <w:b w:val="0"/>
                <w:i w:val="0"/>
                <w:sz w:val="18"/>
                <w:highlight w:val="yellow"/>
              </w:rPr>
              <w:t>&lt;Type&gt;</w:t>
            </w:r>
          </w:p>
        </w:tc>
        <w:tc>
          <w:tcPr>
            <w:tcW w:type="dxa" w:w="1440"/>
          </w:tcPr>
          <w:p>
            <w:pPr>
              <w:keepNext w:val="0"/>
              <w:spacing w:before="40" w:after="40" w:line="240" w:lineRule="auto"/>
            </w:pPr>
            <w:r>
              <w:rPr>
                <w:rFonts w:ascii="Arial" w:hAnsi="Arial" w:cs="Arial" w:eastAsia="Arial"/>
                <w:b w:val="0"/>
                <w:i w:val="0"/>
                <w:sz w:val="18"/>
                <w:highlight w:val="yellow"/>
              </w:rPr>
              <w:t>&lt;Owner&gt;</w:t>
            </w:r>
          </w:p>
        </w:tc>
        <w:tc>
          <w:tcPr>
            <w:tcW w:type="dxa" w:w="1440"/>
          </w:tcPr>
          <w:p>
            <w:pPr>
              <w:keepNext w:val="0"/>
              <w:spacing w:before="40" w:after="40" w:line="240" w:lineRule="auto"/>
            </w:pPr>
            <w:r>
              <w:rPr>
                <w:rFonts w:ascii="Arial" w:hAnsi="Arial" w:cs="Arial" w:eastAsia="Arial"/>
                <w:b w:val="0"/>
                <w:i w:val="0"/>
                <w:sz w:val="18"/>
                <w:highlight w:val="yellow"/>
              </w:rPr>
              <w:t>&lt;Classification&gt;</w:t>
            </w:r>
          </w:p>
        </w:tc>
        <w:tc>
          <w:tcPr>
            <w:tcW w:type="dxa" w:w="1152"/>
          </w:tcPr>
          <w:p>
            <w:pPr>
              <w:keepNext w:val="0"/>
              <w:spacing w:before="40" w:after="40" w:line="240" w:lineRule="auto"/>
            </w:pPr>
            <w:r>
              <w:rPr>
                <w:rFonts w:ascii="Arial" w:hAnsi="Arial" w:cs="Arial" w:eastAsia="Arial"/>
                <w:b w:val="0"/>
                <w:i w:val="0"/>
                <w:sz w:val="18"/>
                <w:highlight w:val="yellow"/>
              </w:rPr>
              <w:t>&lt;Criticality&gt;</w:t>
            </w:r>
          </w:p>
        </w:tc>
        <w:tc>
          <w:tcPr>
            <w:tcW w:type="dxa" w:w="1584"/>
          </w:tcPr>
          <w:p>
            <w:pPr>
              <w:keepNext w:val="0"/>
              <w:spacing w:before="40" w:after="40" w:line="240" w:lineRule="auto"/>
            </w:pPr>
            <w:r>
              <w:rPr>
                <w:rFonts w:ascii="Arial" w:hAnsi="Arial" w:cs="Arial" w:eastAsia="Arial"/>
                <w:b w:val="0"/>
                <w:i w:val="0"/>
                <w:sz w:val="18"/>
                <w:highlight w:val="yellow"/>
              </w:rPr>
              <w:t>&lt;Location&gt;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Owners and custodians</w:t>
      </w:r>
    </w:p>
    <w:p>
      <w:pPr>
        <w:keepNext w:val="0"/>
        <w:spacing w:before="0" w:after="120" w:line="276" w:lineRule="auto"/>
      </w:pPr>
      <w:r>
        <w:rPr>
          <w:rFonts w:ascii="Arial" w:hAnsi="Arial" w:cs="Arial" w:eastAsia="Arial"/>
          <w:b w:val="0"/>
          <w:i w:val="0"/>
          <w:sz w:val="21"/>
        </w:rPr>
        <w:t>Each information asset has an owner and a custodian.</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Role</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Who</w:t>
            </w:r>
          </w:p>
        </w:tc>
        <w:tc>
          <w:tcPr>
            <w:tcW w:type="dxa" w:w="5040"/>
            <w:shd w:val="clear" w:color="auto" w:fill="DCE6F5"/>
          </w:tcPr>
          <w:p>
            <w:pPr>
              <w:keepNext w:val="0"/>
              <w:spacing w:before="40" w:after="40" w:line="240" w:lineRule="auto"/>
            </w:pPr>
            <w:r>
              <w:rPr>
                <w:rFonts w:ascii="Arial" w:hAnsi="Arial" w:cs="Arial" w:eastAsia="Arial"/>
                <w:b/>
                <w:i w:val="0"/>
                <w:color w:val="1B253B"/>
                <w:sz w:val="18"/>
              </w:rPr>
              <w:t>Responsibility</w:t>
            </w:r>
          </w:p>
        </w:tc>
      </w:tr>
      <w:tr>
        <w:trPr>
          <w:cantSplit w:val="true"/>
        </w:trPr>
        <w:tc>
          <w:tcPr>
            <w:tcW w:type="dxa" w:w="1296"/>
          </w:tcPr>
          <w:p>
            <w:pPr>
              <w:keepNext w:val="0"/>
              <w:spacing w:before="40" w:after="40" w:line="240" w:lineRule="auto"/>
            </w:pPr>
            <w:r>
              <w:rPr>
                <w:rFonts w:ascii="Arial" w:hAnsi="Arial" w:cs="Arial" w:eastAsia="Arial"/>
                <w:b w:val="0"/>
                <w:i w:val="0"/>
                <w:sz w:val="18"/>
              </w:rPr>
              <w:t>Owner</w:t>
            </w:r>
          </w:p>
        </w:tc>
        <w:tc>
          <w:tcPr>
            <w:tcW w:type="dxa" w:w="2880"/>
          </w:tcPr>
          <w:p>
            <w:pPr>
              <w:keepNext w:val="0"/>
              <w:spacing w:before="40" w:after="40" w:line="240" w:lineRule="auto"/>
            </w:pPr>
            <w:r>
              <w:rPr>
                <w:rFonts w:ascii="Arial" w:hAnsi="Arial" w:cs="Arial" w:eastAsia="Arial"/>
                <w:b w:val="0"/>
                <w:i w:val="0"/>
                <w:sz w:val="18"/>
              </w:rPr>
              <w:t>A business manager who is accountable for the asset</w:t>
            </w:r>
          </w:p>
        </w:tc>
        <w:tc>
          <w:tcPr>
            <w:tcW w:type="dxa" w:w="5040"/>
          </w:tcPr>
          <w:p>
            <w:pPr>
              <w:keepNext w:val="0"/>
              <w:spacing w:before="40" w:after="40" w:line="240" w:lineRule="auto"/>
            </w:pPr>
            <w:r>
              <w:rPr>
                <w:rFonts w:ascii="Arial" w:hAnsi="Arial" w:cs="Arial" w:eastAsia="Arial"/>
                <w:b w:val="0"/>
                <w:i w:val="0"/>
                <w:sz w:val="18"/>
              </w:rPr>
              <w:t>Decides its classification and who may use it. Accepts its risks. Makes sure it is protected, reviewed and disposed of properly.</w:t>
            </w:r>
          </w:p>
        </w:tc>
      </w:tr>
      <w:tr>
        <w:trPr>
          <w:cantSplit w:val="true"/>
        </w:trPr>
        <w:tc>
          <w:tcPr>
            <w:tcW w:type="dxa" w:w="1296"/>
          </w:tcPr>
          <w:p>
            <w:pPr>
              <w:keepNext w:val="0"/>
              <w:spacing w:before="40" w:after="40" w:line="240" w:lineRule="auto"/>
            </w:pPr>
            <w:r>
              <w:rPr>
                <w:rFonts w:ascii="Arial" w:hAnsi="Arial" w:cs="Arial" w:eastAsia="Arial"/>
                <w:b w:val="0"/>
                <w:i w:val="0"/>
                <w:sz w:val="18"/>
              </w:rPr>
              <w:t>Custodian</w:t>
            </w:r>
          </w:p>
        </w:tc>
        <w:tc>
          <w:tcPr>
            <w:tcW w:type="dxa" w:w="2880"/>
          </w:tcPr>
          <w:p>
            <w:pPr>
              <w:keepNext w:val="0"/>
              <w:spacing w:before="40" w:after="40" w:line="240" w:lineRule="auto"/>
            </w:pPr>
            <w:r>
              <w:rPr>
                <w:rFonts w:ascii="Arial" w:hAnsi="Arial" w:cs="Arial" w:eastAsia="Arial"/>
                <w:b w:val="0"/>
                <w:i w:val="0"/>
                <w:sz w:val="18"/>
              </w:rPr>
              <w:t>The person or team that looks after the asset day to day</w:t>
            </w:r>
          </w:p>
        </w:tc>
        <w:tc>
          <w:tcPr>
            <w:tcW w:type="dxa" w:w="5040"/>
          </w:tcPr>
          <w:p>
            <w:pPr>
              <w:keepNext w:val="0"/>
              <w:spacing w:before="40" w:after="40" w:line="240" w:lineRule="auto"/>
            </w:pPr>
            <w:r>
              <w:rPr>
                <w:rFonts w:ascii="Arial" w:hAnsi="Arial" w:cs="Arial" w:eastAsia="Arial"/>
                <w:b w:val="0"/>
                <w:i w:val="0"/>
                <w:sz w:val="18"/>
              </w:rPr>
              <w:t>Applies the protection the owner requires, and tells the owner of any problem.</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Classification, labelling and handling</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Class</w:t>
            </w:r>
          </w:p>
        </w:tc>
        <w:tc>
          <w:tcPr>
            <w:tcW w:type="dxa" w:w="3168"/>
            <w:shd w:val="clear" w:color="auto" w:fill="DCE6F5"/>
          </w:tcPr>
          <w:p>
            <w:pPr>
              <w:keepNext w:val="0"/>
              <w:spacing w:before="40" w:after="40" w:line="240" w:lineRule="auto"/>
            </w:pPr>
            <w:r>
              <w:rPr>
                <w:rFonts w:ascii="Arial" w:hAnsi="Arial" w:cs="Arial" w:eastAsia="Arial"/>
                <w:b/>
                <w:i w:val="0"/>
                <w:color w:val="1B253B"/>
                <w:sz w:val="18"/>
              </w:rPr>
              <w:t>Meaning</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Labelling</w:t>
            </w:r>
          </w:p>
        </w:tc>
        <w:tc>
          <w:tcPr>
            <w:tcW w:type="dxa" w:w="3024"/>
            <w:shd w:val="clear" w:color="auto" w:fill="DCE6F5"/>
          </w:tcPr>
          <w:p>
            <w:pPr>
              <w:keepNext w:val="0"/>
              <w:spacing w:before="40" w:after="40" w:line="240" w:lineRule="auto"/>
            </w:pPr>
            <w:r>
              <w:rPr>
                <w:rFonts w:ascii="Arial" w:hAnsi="Arial" w:cs="Arial" w:eastAsia="Arial"/>
                <w:b/>
                <w:i w:val="0"/>
                <w:color w:val="1B253B"/>
                <w:sz w:val="18"/>
              </w:rPr>
              <w:t>Handling</w:t>
            </w:r>
          </w:p>
        </w:tc>
      </w:tr>
      <w:tr>
        <w:trPr>
          <w:cantSplit w:val="true"/>
        </w:trPr>
        <w:tc>
          <w:tcPr>
            <w:tcW w:type="dxa" w:w="1296"/>
          </w:tcPr>
          <w:p>
            <w:pPr>
              <w:keepNext w:val="0"/>
              <w:spacing w:before="40" w:after="40" w:line="240" w:lineRule="auto"/>
            </w:pPr>
            <w:r>
              <w:rPr>
                <w:rFonts w:ascii="Arial" w:hAnsi="Arial" w:cs="Arial" w:eastAsia="Arial"/>
                <w:b w:val="0"/>
                <w:i w:val="0"/>
                <w:sz w:val="18"/>
              </w:rPr>
              <w:t>Public</w:t>
            </w:r>
          </w:p>
        </w:tc>
        <w:tc>
          <w:tcPr>
            <w:tcW w:type="dxa" w:w="3168"/>
          </w:tcPr>
          <w:p>
            <w:pPr>
              <w:keepNext w:val="0"/>
              <w:spacing w:before="40" w:after="40" w:line="240" w:lineRule="auto"/>
            </w:pPr>
            <w:r>
              <w:rPr>
                <w:rFonts w:ascii="Arial" w:hAnsi="Arial" w:cs="Arial" w:eastAsia="Arial"/>
                <w:b w:val="0"/>
                <w:i w:val="0"/>
                <w:sz w:val="18"/>
              </w:rPr>
              <w:t>May be shared with anyone</w:t>
            </w:r>
          </w:p>
        </w:tc>
        <w:tc>
          <w:tcPr>
            <w:tcW w:type="dxa" w:w="1728"/>
          </w:tcPr>
          <w:p>
            <w:pPr>
              <w:keepNext w:val="0"/>
              <w:spacing w:before="40" w:after="40" w:line="240" w:lineRule="auto"/>
            </w:pPr>
            <w:r>
              <w:rPr>
                <w:rFonts w:ascii="Arial" w:hAnsi="Arial" w:cs="Arial" w:eastAsia="Arial"/>
                <w:b w:val="0"/>
                <w:i w:val="0"/>
                <w:sz w:val="18"/>
              </w:rPr>
              <w:t>Optional</w:t>
            </w:r>
          </w:p>
        </w:tc>
        <w:tc>
          <w:tcPr>
            <w:tcW w:type="dxa" w:w="3024"/>
          </w:tcPr>
          <w:p>
            <w:pPr>
              <w:keepNext w:val="0"/>
              <w:spacing w:before="40" w:after="40" w:line="240" w:lineRule="auto"/>
            </w:pPr>
            <w:r>
              <w:rPr>
                <w:rFonts w:ascii="Arial" w:hAnsi="Arial" w:cs="Arial" w:eastAsia="Arial"/>
                <w:b w:val="0"/>
                <w:i w:val="0"/>
                <w:sz w:val="18"/>
              </w:rPr>
              <w:t>No restriction</w:t>
            </w:r>
          </w:p>
        </w:tc>
      </w:tr>
      <w:tr>
        <w:trPr>
          <w:cantSplit w:val="true"/>
        </w:trPr>
        <w:tc>
          <w:tcPr>
            <w:tcW w:type="dxa" w:w="1296"/>
          </w:tcPr>
          <w:p>
            <w:pPr>
              <w:keepNext w:val="0"/>
              <w:spacing w:before="40" w:after="40" w:line="240" w:lineRule="auto"/>
            </w:pPr>
            <w:r>
              <w:rPr>
                <w:rFonts w:ascii="Arial" w:hAnsi="Arial" w:cs="Arial" w:eastAsia="Arial"/>
                <w:b w:val="0"/>
                <w:i w:val="0"/>
                <w:sz w:val="18"/>
              </w:rPr>
              <w:t>Internal</w:t>
            </w:r>
          </w:p>
        </w:tc>
        <w:tc>
          <w:tcPr>
            <w:tcW w:type="dxa" w:w="3168"/>
          </w:tcPr>
          <w:p>
            <w:pPr>
              <w:keepNext w:val="0"/>
              <w:spacing w:before="40" w:after="40" w:line="240" w:lineRule="auto"/>
            </w:pPr>
            <w:r>
              <w:rPr>
                <w:rFonts w:ascii="Arial" w:hAnsi="Arial" w:cs="Arial" w:eastAsia="Arial"/>
                <w:b w:val="0"/>
                <w:i w:val="0"/>
                <w:sz w:val="18"/>
              </w:rPr>
              <w:t>For staff and approved third parties</w:t>
            </w:r>
          </w:p>
        </w:tc>
        <w:tc>
          <w:tcPr>
            <w:tcW w:type="dxa" w:w="1728"/>
          </w:tcPr>
          <w:p>
            <w:pPr>
              <w:keepNext w:val="0"/>
              <w:spacing w:before="40" w:after="40" w:line="240" w:lineRule="auto"/>
            </w:pPr>
            <w:r>
              <w:rPr>
                <w:rFonts w:ascii="Arial" w:hAnsi="Arial" w:cs="Arial" w:eastAsia="Arial"/>
                <w:b w:val="0"/>
                <w:i w:val="0"/>
                <w:sz w:val="18"/>
              </w:rPr>
              <w:t>Marked Internal</w:t>
            </w:r>
          </w:p>
        </w:tc>
        <w:tc>
          <w:tcPr>
            <w:tcW w:type="dxa" w:w="3024"/>
          </w:tcPr>
          <w:p>
            <w:pPr>
              <w:keepNext w:val="0"/>
              <w:spacing w:before="40" w:after="40" w:line="240" w:lineRule="auto"/>
            </w:pPr>
            <w:r>
              <w:rPr>
                <w:rFonts w:ascii="Arial" w:hAnsi="Arial" w:cs="Arial" w:eastAsia="Arial"/>
                <w:b w:val="0"/>
                <w:i w:val="0"/>
                <w:sz w:val="18"/>
              </w:rPr>
              <w:t>Not shared outside the organisation without approval</w:t>
            </w:r>
          </w:p>
        </w:tc>
      </w:tr>
      <w:tr>
        <w:trPr>
          <w:cantSplit w:val="true"/>
        </w:trPr>
        <w:tc>
          <w:tcPr>
            <w:tcW w:type="dxa" w:w="1296"/>
          </w:tcPr>
          <w:p>
            <w:pPr>
              <w:keepNext w:val="0"/>
              <w:spacing w:before="40" w:after="40" w:line="240" w:lineRule="auto"/>
            </w:pPr>
            <w:r>
              <w:rPr>
                <w:rFonts w:ascii="Arial" w:hAnsi="Arial" w:cs="Arial" w:eastAsia="Arial"/>
                <w:b w:val="0"/>
                <w:i w:val="0"/>
                <w:sz w:val="18"/>
              </w:rPr>
              <w:t>Confidential</w:t>
            </w:r>
          </w:p>
        </w:tc>
        <w:tc>
          <w:tcPr>
            <w:tcW w:type="dxa" w:w="3168"/>
          </w:tcPr>
          <w:p>
            <w:pPr>
              <w:keepNext w:val="0"/>
              <w:spacing w:before="40" w:after="40" w:line="240" w:lineRule="auto"/>
            </w:pPr>
            <w:r>
              <w:rPr>
                <w:rFonts w:ascii="Arial" w:hAnsi="Arial" w:cs="Arial" w:eastAsia="Arial"/>
                <w:b w:val="0"/>
                <w:i w:val="0"/>
                <w:sz w:val="18"/>
              </w:rPr>
              <w:t>Customer, business and personnel information whose exposure would cause harm</w:t>
            </w:r>
          </w:p>
        </w:tc>
        <w:tc>
          <w:tcPr>
            <w:tcW w:type="dxa" w:w="1728"/>
          </w:tcPr>
          <w:p>
            <w:pPr>
              <w:keepNext w:val="0"/>
              <w:spacing w:before="40" w:after="40" w:line="240" w:lineRule="auto"/>
            </w:pPr>
            <w:r>
              <w:rPr>
                <w:rFonts w:ascii="Arial" w:hAnsi="Arial" w:cs="Arial" w:eastAsia="Arial"/>
                <w:b w:val="0"/>
                <w:i w:val="0"/>
                <w:sz w:val="18"/>
              </w:rPr>
              <w:t>Marked Confidential</w:t>
            </w:r>
          </w:p>
        </w:tc>
        <w:tc>
          <w:tcPr>
            <w:tcW w:type="dxa" w:w="3024"/>
          </w:tcPr>
          <w:p>
            <w:pPr>
              <w:keepNext w:val="0"/>
              <w:spacing w:before="40" w:after="40" w:line="240" w:lineRule="auto"/>
            </w:pPr>
            <w:r>
              <w:rPr>
                <w:rFonts w:ascii="Arial" w:hAnsi="Arial" w:cs="Arial" w:eastAsia="Arial"/>
                <w:b w:val="0"/>
                <w:i w:val="0"/>
                <w:sz w:val="18"/>
              </w:rPr>
              <w:t>Need-to-know; encrypted when stored or sent outside; no personal email or storage</w:t>
            </w:r>
          </w:p>
        </w:tc>
      </w:tr>
      <w:tr>
        <w:trPr>
          <w:cantSplit w:val="true"/>
        </w:trPr>
        <w:tc>
          <w:tcPr>
            <w:tcW w:type="dxa" w:w="1296"/>
          </w:tcPr>
          <w:p>
            <w:pPr>
              <w:keepNext w:val="0"/>
              <w:spacing w:before="40" w:after="40" w:line="240" w:lineRule="auto"/>
            </w:pPr>
            <w:r>
              <w:rPr>
                <w:rFonts w:ascii="Arial" w:hAnsi="Arial" w:cs="Arial" w:eastAsia="Arial"/>
                <w:b w:val="0"/>
                <w:i w:val="0"/>
                <w:sz w:val="18"/>
              </w:rPr>
              <w:t>Restricted</w:t>
            </w:r>
          </w:p>
        </w:tc>
        <w:tc>
          <w:tcPr>
            <w:tcW w:type="dxa" w:w="3168"/>
          </w:tcPr>
          <w:p>
            <w:pPr>
              <w:keepNext w:val="0"/>
              <w:spacing w:before="40" w:after="40" w:line="240" w:lineRule="auto"/>
            </w:pPr>
            <w:r>
              <w:rPr>
                <w:rFonts w:ascii="Arial" w:hAnsi="Arial" w:cs="Arial" w:eastAsia="Arial"/>
                <w:b w:val="0"/>
                <w:i w:val="0"/>
                <w:sz w:val="18"/>
              </w:rPr>
              <w:t>The most sensitive, for example authentication secrets and large customer data sets</w:t>
            </w:r>
          </w:p>
        </w:tc>
        <w:tc>
          <w:tcPr>
            <w:tcW w:type="dxa" w:w="1728"/>
          </w:tcPr>
          <w:p>
            <w:pPr>
              <w:keepNext w:val="0"/>
              <w:spacing w:before="40" w:after="40" w:line="240" w:lineRule="auto"/>
            </w:pPr>
            <w:r>
              <w:rPr>
                <w:rFonts w:ascii="Arial" w:hAnsi="Arial" w:cs="Arial" w:eastAsia="Arial"/>
                <w:b w:val="0"/>
                <w:i w:val="0"/>
                <w:sz w:val="18"/>
              </w:rPr>
              <w:t>Marked Restricted</w:t>
            </w:r>
          </w:p>
        </w:tc>
        <w:tc>
          <w:tcPr>
            <w:tcW w:type="dxa" w:w="3024"/>
          </w:tcPr>
          <w:p>
            <w:pPr>
              <w:keepNext w:val="0"/>
              <w:spacing w:before="40" w:after="40" w:line="240" w:lineRule="auto"/>
            </w:pPr>
            <w:r>
              <w:rPr>
                <w:rFonts w:ascii="Arial" w:hAnsi="Arial" w:cs="Arial" w:eastAsia="Arial"/>
                <w:b w:val="0"/>
                <w:i w:val="0"/>
                <w:sz w:val="18"/>
              </w:rPr>
              <w:t>Named people only; encrypted always; every access logged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Finding new assets</w:t>
      </w:r>
    </w:p>
    <w:p>
      <w:pPr>
        <w:keepNext w:val="0"/>
        <w:spacing w:before="0" w:after="120" w:line="276" w:lineRule="auto"/>
      </w:pPr>
      <w:r>
        <w:rPr>
          <w:rFonts w:ascii="Arial" w:hAnsi="Arial" w:cs="Arial" w:eastAsia="Arial"/>
          <w:b w:val="0"/>
          <w:i w:val="0"/>
          <w:sz w:val="21"/>
        </w:rPr>
        <w:t xml:space="preserve">New assets are added at the start of a project, on delivery of equipment, when a service is signed up for, and by </w:t>
      </w:r>
      <w:sdt>
        <w:sdtPr>
          <w:alias w:val="regular network and cloud discovery scans"/>
          <w:tag w:val="14.discovery"/>
        </w:sdtPr>
        <w:sdtContent>
          <w:r>
            <w:rPr>
              <w:rFonts w:ascii="Arial" w:hAnsi="Arial" w:cs="Arial" w:eastAsia="Arial"/>
              <w:b w:val="0"/>
              <w:i w:val="0"/>
              <w:sz w:val="21"/>
              <w:highlight w:val="yellow"/>
            </w:rPr>
            <w:t>&lt;regular network and cloud discovery scans&gt;</w:t>
          </w:r>
        </w:sdtContent>
      </w:sdt>
      <w:r>
        <w:rPr>
          <w:rFonts w:ascii="Arial" w:hAnsi="Arial" w:cs="Arial" w:eastAsia="Arial"/>
          <w:b w:val="0"/>
          <w:i w:val="0"/>
          <w:sz w:val="21"/>
        </w:rPr>
        <w:t xml:space="preserve"> compared with the register. Anything found that is not in the register is reported to the CISO's team and either added or removed.</w:t>
      </w:r>
    </w:p>
    <w:p>
      <w:pPr>
        <w:keepNext/>
        <w:spacing w:before="280" w:after="120" w:line="264" w:lineRule="auto"/>
      </w:pPr>
      <w:r>
        <w:rPr>
          <w:rFonts w:ascii="Arial" w:hAnsi="Arial" w:cs="Arial" w:eastAsia="Arial"/>
          <w:b/>
          <w:i w:val="0"/>
          <w:color w:val="1B253B"/>
          <w:sz w:val="28"/>
        </w:rPr>
        <w:t>7. Processes that depend on the register</w:t>
      </w:r>
    </w:p>
    <w:p>
      <w:pPr>
        <w:pStyle w:val="ListBullet"/>
        <w:keepNext w:val="0"/>
        <w:spacing w:before="0" w:after="60" w:line="276" w:lineRule="auto"/>
        <w:ind w:left="432" w:hanging="288"/>
      </w:pPr>
      <w:r>
        <w:rPr>
          <w:rFonts w:ascii="Arial" w:hAnsi="Arial" w:cs="Arial" w:eastAsia="Arial"/>
          <w:b w:val="0"/>
          <w:i w:val="0"/>
          <w:sz w:val="21"/>
        </w:rPr>
        <w:t>Risk management (SAMA-08)</w:t>
      </w:r>
    </w:p>
    <w:p>
      <w:pPr>
        <w:pStyle w:val="ListBullet"/>
        <w:keepNext w:val="0"/>
        <w:spacing w:before="0" w:after="60" w:line="276" w:lineRule="auto"/>
        <w:ind w:left="432" w:hanging="288"/>
      </w:pPr>
      <w:r>
        <w:rPr>
          <w:rFonts w:ascii="Arial" w:hAnsi="Arial" w:cs="Arial" w:eastAsia="Arial"/>
          <w:b w:val="0"/>
          <w:i w:val="0"/>
          <w:sz w:val="21"/>
        </w:rPr>
        <w:t>Change management (SAMA-18)</w:t>
      </w:r>
    </w:p>
    <w:p>
      <w:pPr>
        <w:pStyle w:val="ListBullet"/>
        <w:keepNext w:val="0"/>
        <w:spacing w:before="0" w:after="60" w:line="276" w:lineRule="auto"/>
        <w:ind w:left="432" w:hanging="288"/>
      </w:pPr>
      <w:r>
        <w:rPr>
          <w:rFonts w:ascii="Arial" w:hAnsi="Arial" w:cs="Arial" w:eastAsia="Arial"/>
          <w:b w:val="0"/>
          <w:i w:val="0"/>
          <w:sz w:val="21"/>
        </w:rPr>
        <w:t>Identity and access management (SAMA-16)</w:t>
      </w:r>
    </w:p>
    <w:p>
      <w:pPr>
        <w:pStyle w:val="ListBullet"/>
        <w:keepNext w:val="0"/>
        <w:spacing w:before="0" w:after="60" w:line="276" w:lineRule="auto"/>
        <w:ind w:left="432" w:hanging="288"/>
      </w:pPr>
      <w:r>
        <w:rPr>
          <w:rFonts w:ascii="Arial" w:hAnsi="Arial" w:cs="Arial" w:eastAsia="Arial"/>
          <w:b w:val="0"/>
          <w:i w:val="0"/>
          <w:sz w:val="21"/>
        </w:rPr>
        <w:t>Vulnerability management (SAMA-28)</w:t>
      </w:r>
    </w:p>
    <w:p>
      <w:pPr>
        <w:pStyle w:val="ListBullet"/>
        <w:keepNext w:val="0"/>
        <w:spacing w:before="0" w:after="60" w:line="276" w:lineRule="auto"/>
        <w:ind w:left="432" w:hanging="288"/>
      </w:pPr>
      <w:r>
        <w:rPr>
          <w:rFonts w:ascii="Arial" w:hAnsi="Arial" w:cs="Arial" w:eastAsia="Arial"/>
          <w:b w:val="0"/>
          <w:i w:val="0"/>
          <w:sz w:val="21"/>
        </w:rPr>
        <w:t>Event management (SAMA-25)</w:t>
      </w:r>
    </w:p>
    <w:p>
      <w:pPr>
        <w:pStyle w:val="ListBullet"/>
        <w:keepNext w:val="0"/>
        <w:spacing w:before="0" w:after="60" w:line="276" w:lineRule="auto"/>
        <w:ind w:left="432" w:hanging="288"/>
      </w:pPr>
      <w:r>
        <w:rPr>
          <w:rFonts w:ascii="Arial" w:hAnsi="Arial" w:cs="Arial" w:eastAsia="Arial"/>
          <w:b w:val="0"/>
          <w:i w:val="0"/>
          <w:sz w:val="21"/>
        </w:rPr>
        <w:t>Secure disposal (SAMA-22)</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4.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Assets with an owner and a classification</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Discovered assets not in the register</w:t>
            </w:r>
          </w:p>
        </w:tc>
        <w:tc>
          <w:tcPr>
            <w:tcW w:type="dxa" w:w="2592"/>
          </w:tcPr>
          <w:p>
            <w:pPr>
              <w:keepNext w:val="0"/>
              <w:spacing w:before="40" w:after="40" w:line="240" w:lineRule="auto"/>
            </w:pPr>
            <w:sdt>
              <w:sdtPr>
                <w:alias w:val="Zero after review"/>
                <w:tag w:val="14.t6.r1.c1"/>
              </w:sdtPr>
              <w:sdtContent>
                <w:r>
                  <w:rPr>
                    <w:rFonts w:ascii="Arial" w:hAnsi="Arial" w:cs="Arial" w:eastAsia="Arial"/>
                    <w:b w:val="0"/>
                    <w:i w:val="0"/>
                    <w:sz w:val="18"/>
                    <w:highlight w:val="yellow"/>
                  </w:rPr>
                  <w:t>&lt;Zero after review&gt;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3.3.3.1</w:t>
            </w:r>
          </w:p>
        </w:tc>
        <w:tc>
          <w:tcPr>
            <w:tcW w:type="dxa" w:w="7920"/>
          </w:tcPr>
          <w:p>
            <w:pPr>
              <w:keepNext w:val="0"/>
              <w:spacing w:before="40" w:after="40" w:line="240" w:lineRule="auto"/>
            </w:pPr>
            <w:r>
              <w:rPr>
                <w:rFonts w:ascii="Arial" w:hAnsi="Arial" w:cs="Arial" w:eastAsia="Arial"/>
                <w:b w:val="0"/>
                <w:i w:val="0"/>
                <w:sz w:val="18"/>
              </w:rPr>
              <w:t>Asset management process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3.3.3.2</w:t>
            </w:r>
          </w:p>
        </w:tc>
        <w:tc>
          <w:tcPr>
            <w:tcW w:type="dxa" w:w="7920"/>
          </w:tcPr>
          <w:p>
            <w:pPr>
              <w:keepNext w:val="0"/>
              <w:spacing w:before="40" w:after="40" w:line="240" w:lineRule="auto"/>
            </w:pPr>
            <w:r>
              <w:rPr>
                <w:rFonts w:ascii="Arial" w:hAnsi="Arial" w:cs="Arial" w:eastAsia="Arial"/>
                <w:b w:val="0"/>
                <w:i w:val="0"/>
                <w:sz w:val="18"/>
              </w:rPr>
              <w:t>Effectiveness monitored,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3.3.3.3</w:t>
            </w:r>
          </w:p>
        </w:tc>
        <w:tc>
          <w:tcPr>
            <w:tcW w:type="dxa" w:w="7920"/>
          </w:tcPr>
          <w:p>
            <w:pPr>
              <w:keepNext w:val="0"/>
              <w:spacing w:before="40" w:after="40" w:line="240" w:lineRule="auto"/>
            </w:pPr>
            <w:r>
              <w:rPr>
                <w:rFonts w:ascii="Arial" w:hAnsi="Arial" w:cs="Arial" w:eastAsia="Arial"/>
                <w:b w:val="0"/>
                <w:i w:val="0"/>
                <w:sz w:val="18"/>
              </w:rPr>
              <w:t>One register; owner and custodian; classification, labelling and handling; discovery of new assets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Asset Management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Management</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