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Application Security Standard and Secure Development</w:t>
      </w:r>
    </w:p>
    <w:p>
      <w:pPr>
        <w:keepNext w:val="0"/>
        <w:spacing w:before="0" w:after="200" w:line="240" w:lineRule="auto"/>
      </w:pPr>
      <w:r>
        <w:rPr>
          <w:rFonts w:ascii="Arial" w:hAnsi="Arial" w:cs="Arial" w:eastAsia="Arial"/>
          <w:b w:val="0"/>
          <w:i w:val="0"/>
          <w:color w:val="5B6678"/>
          <w:sz w:val="21"/>
        </w:rPr>
        <w:t>Security rules for applications and the secure development life cycle.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SAMA-17</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standard sets the security rules for applications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Application development follows the approved secure system development life cycle (SDLC) described here.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application the organisation builds, buys, configures or runs, including those developed by third parties for it.</w:t>
      </w:r>
    </w:p>
    <w:p>
      <w:pPr>
        <w:keepNext/>
        <w:spacing w:before="280" w:after="120" w:line="264" w:lineRule="auto"/>
      </w:pPr>
      <w:r>
        <w:rPr>
          <w:rFonts w:ascii="Arial" w:hAnsi="Arial" w:cs="Arial" w:eastAsia="Arial"/>
          <w:b/>
          <w:i w:val="0"/>
          <w:color w:val="1B253B"/>
          <w:sz w:val="28"/>
        </w:rPr>
        <w:t>3. The secure development life cycle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Phase</w:t>
            </w:r>
          </w:p>
        </w:tc>
        <w:tc>
          <w:tcPr>
            <w:tcW w:type="dxa" w:w="7344"/>
            <w:shd w:val="clear" w:color="auto" w:fill="DCE6F5"/>
          </w:tcPr>
          <w:p>
            <w:pPr>
              <w:keepNext w:val="0"/>
              <w:spacing w:before="40" w:after="40" w:line="240" w:lineRule="auto"/>
            </w:pPr>
            <w:r>
              <w:rPr>
                <w:rFonts w:ascii="Arial" w:hAnsi="Arial" w:cs="Arial" w:eastAsia="Arial"/>
                <w:b/>
                <w:i w:val="0"/>
                <w:color w:val="1B253B"/>
                <w:sz w:val="18"/>
              </w:rPr>
              <w:t>Security activity</w:t>
            </w:r>
          </w:p>
        </w:tc>
      </w:tr>
      <w:tr>
        <w:trPr>
          <w:cantSplit w:val="true"/>
        </w:trPr>
        <w:tc>
          <w:tcPr>
            <w:tcW w:type="dxa" w:w="1872"/>
          </w:tcPr>
          <w:p>
            <w:pPr>
              <w:keepNext w:val="0"/>
              <w:spacing w:before="40" w:after="40" w:line="240" w:lineRule="auto"/>
            </w:pPr>
            <w:r>
              <w:rPr>
                <w:rFonts w:ascii="Arial" w:hAnsi="Arial" w:cs="Arial" w:eastAsia="Arial"/>
                <w:b w:val="0"/>
                <w:i w:val="0"/>
                <w:sz w:val="18"/>
              </w:rPr>
              <w:t>Requirements</w:t>
            </w:r>
          </w:p>
        </w:tc>
        <w:tc>
          <w:tcPr>
            <w:tcW w:type="dxa" w:w="7344"/>
          </w:tcPr>
          <w:p>
            <w:pPr>
              <w:keepNext w:val="0"/>
              <w:spacing w:before="40" w:after="40" w:line="240" w:lineRule="auto"/>
            </w:pPr>
            <w:r>
              <w:rPr>
                <w:rFonts w:ascii="Arial" w:hAnsi="Arial" w:cs="Arial" w:eastAsia="Arial"/>
                <w:b w:val="0"/>
                <w:i w:val="0"/>
                <w:sz w:val="18"/>
              </w:rPr>
              <w:t>Security and privacy requirements are set from the data classification and the risk assessment.</w:t>
            </w:r>
          </w:p>
        </w:tc>
      </w:tr>
      <w:tr>
        <w:trPr>
          <w:cantSplit w:val="true"/>
        </w:trPr>
        <w:tc>
          <w:tcPr>
            <w:tcW w:type="dxa" w:w="1872"/>
          </w:tcPr>
          <w:p>
            <w:pPr>
              <w:keepNext w:val="0"/>
              <w:spacing w:before="40" w:after="40" w:line="240" w:lineRule="auto"/>
            </w:pPr>
            <w:r>
              <w:rPr>
                <w:rFonts w:ascii="Arial" w:hAnsi="Arial" w:cs="Arial" w:eastAsia="Arial"/>
                <w:b w:val="0"/>
                <w:i w:val="0"/>
                <w:sz w:val="18"/>
              </w:rPr>
              <w:t>Design</w:t>
            </w:r>
          </w:p>
        </w:tc>
        <w:tc>
          <w:tcPr>
            <w:tcW w:type="dxa" w:w="7344"/>
          </w:tcPr>
          <w:p>
            <w:pPr>
              <w:keepNext w:val="0"/>
              <w:spacing w:before="40" w:after="40" w:line="240" w:lineRule="auto"/>
            </w:pPr>
            <w:r>
              <w:rPr>
                <w:rFonts w:ascii="Arial" w:hAnsi="Arial" w:cs="Arial" w:eastAsia="Arial"/>
                <w:b w:val="0"/>
                <w:i w:val="0"/>
                <w:sz w:val="18"/>
              </w:rPr>
              <w:t>Threat modelling and a design review against the security architecture (SAMA-15).</w:t>
            </w:r>
          </w:p>
        </w:tc>
      </w:tr>
      <w:tr>
        <w:trPr>
          <w:cantSplit w:val="true"/>
        </w:trPr>
        <w:tc>
          <w:tcPr>
            <w:tcW w:type="dxa" w:w="1872"/>
          </w:tcPr>
          <w:p>
            <w:pPr>
              <w:keepNext w:val="0"/>
              <w:spacing w:before="40" w:after="40" w:line="240" w:lineRule="auto"/>
            </w:pPr>
            <w:r>
              <w:rPr>
                <w:rFonts w:ascii="Arial" w:hAnsi="Arial" w:cs="Arial" w:eastAsia="Arial"/>
                <w:b w:val="0"/>
                <w:i w:val="0"/>
                <w:sz w:val="18"/>
              </w:rPr>
              <w:t>Build</w:t>
            </w:r>
          </w:p>
        </w:tc>
        <w:tc>
          <w:tcPr>
            <w:tcW w:type="dxa" w:w="7344"/>
          </w:tcPr>
          <w:p>
            <w:pPr>
              <w:keepNext w:val="0"/>
              <w:spacing w:before="40" w:after="40" w:line="240" w:lineRule="auto"/>
            </w:pPr>
            <w:r>
              <w:rPr>
                <w:rFonts w:ascii="Arial" w:hAnsi="Arial" w:cs="Arial" w:eastAsia="Arial"/>
                <w:b w:val="0"/>
                <w:i w:val="0"/>
                <w:sz w:val="18"/>
              </w:rPr>
              <w:t>Secure coding standards are followed. Peer review and code scanning are done. Secrets are not kept in code.</w:t>
            </w:r>
          </w:p>
        </w:tc>
      </w:tr>
      <w:tr>
        <w:trPr>
          <w:cantSplit w:val="true"/>
        </w:trPr>
        <w:tc>
          <w:tcPr>
            <w:tcW w:type="dxa" w:w="1872"/>
          </w:tcPr>
          <w:p>
            <w:pPr>
              <w:keepNext w:val="0"/>
              <w:spacing w:before="40" w:after="40" w:line="240" w:lineRule="auto"/>
            </w:pPr>
            <w:r>
              <w:rPr>
                <w:rFonts w:ascii="Arial" w:hAnsi="Arial" w:cs="Arial" w:eastAsia="Arial"/>
                <w:b w:val="0"/>
                <w:i w:val="0"/>
                <w:sz w:val="18"/>
              </w:rPr>
              <w:t>Test</w:t>
            </w:r>
          </w:p>
        </w:tc>
        <w:tc>
          <w:tcPr>
            <w:tcW w:type="dxa" w:w="7344"/>
          </w:tcPr>
          <w:p>
            <w:pPr>
              <w:keepNext w:val="0"/>
              <w:spacing w:before="40" w:after="40" w:line="240" w:lineRule="auto"/>
            </w:pPr>
            <w:r>
              <w:rPr>
                <w:rFonts w:ascii="Arial" w:hAnsi="Arial" w:cs="Arial" w:eastAsia="Arial"/>
                <w:b w:val="0"/>
                <w:i w:val="0"/>
                <w:sz w:val="18"/>
              </w:rPr>
              <w:t>Security testing, vulnerability scans, and penetration testing where the risk calls for it. No go-live with open high findings.</w:t>
            </w:r>
          </w:p>
        </w:tc>
      </w:tr>
      <w:tr>
        <w:trPr>
          <w:cantSplit w:val="true"/>
        </w:trPr>
        <w:tc>
          <w:tcPr>
            <w:tcW w:type="dxa" w:w="1872"/>
          </w:tcPr>
          <w:p>
            <w:pPr>
              <w:keepNext w:val="0"/>
              <w:spacing w:before="40" w:after="40" w:line="240" w:lineRule="auto"/>
            </w:pPr>
            <w:r>
              <w:rPr>
                <w:rFonts w:ascii="Arial" w:hAnsi="Arial" w:cs="Arial" w:eastAsia="Arial"/>
                <w:b w:val="0"/>
                <w:i w:val="0"/>
                <w:sz w:val="18"/>
              </w:rPr>
              <w:t>Release</w:t>
            </w:r>
          </w:p>
        </w:tc>
        <w:tc>
          <w:tcPr>
            <w:tcW w:type="dxa" w:w="7344"/>
          </w:tcPr>
          <w:p>
            <w:pPr>
              <w:keepNext w:val="0"/>
              <w:spacing w:before="40" w:after="40" w:line="240" w:lineRule="auto"/>
            </w:pPr>
            <w:r>
              <w:rPr>
                <w:rFonts w:ascii="Arial" w:hAnsi="Arial" w:cs="Arial" w:eastAsia="Arial"/>
                <w:b w:val="0"/>
                <w:i w:val="0"/>
                <w:sz w:val="18"/>
              </w:rPr>
              <w:t>Change management (SAMA-18). Separate environments. Release signed off by cyber security.</w:t>
            </w:r>
          </w:p>
        </w:tc>
      </w:tr>
      <w:tr>
        <w:trPr>
          <w:cantSplit w:val="true"/>
        </w:trPr>
        <w:tc>
          <w:tcPr>
            <w:tcW w:type="dxa" w:w="1872"/>
          </w:tcPr>
          <w:p>
            <w:pPr>
              <w:keepNext w:val="0"/>
              <w:spacing w:before="40" w:after="40" w:line="240" w:lineRule="auto"/>
            </w:pPr>
            <w:r>
              <w:rPr>
                <w:rFonts w:ascii="Arial" w:hAnsi="Arial" w:cs="Arial" w:eastAsia="Arial"/>
                <w:b w:val="0"/>
                <w:i w:val="0"/>
                <w:sz w:val="18"/>
              </w:rPr>
              <w:t>Operate</w:t>
            </w:r>
          </w:p>
        </w:tc>
        <w:tc>
          <w:tcPr>
            <w:tcW w:type="dxa" w:w="7344"/>
          </w:tcPr>
          <w:p>
            <w:pPr>
              <w:keepNext w:val="0"/>
              <w:spacing w:before="40" w:after="40" w:line="240" w:lineRule="auto"/>
            </w:pPr>
            <w:r>
              <w:rPr>
                <w:rFonts w:ascii="Arial" w:hAnsi="Arial" w:cs="Arial" w:eastAsia="Arial"/>
                <w:b w:val="0"/>
                <w:i w:val="0"/>
                <w:sz w:val="18"/>
              </w:rPr>
              <w:t>Monitoring, patching, backup and periodic security compliance reviews.</w:t>
            </w:r>
          </w:p>
        </w:tc>
      </w:tr>
      <w:tr>
        <w:trPr>
          <w:cantSplit w:val="true"/>
        </w:trPr>
        <w:tc>
          <w:tcPr>
            <w:tcW w:type="dxa" w:w="1872"/>
          </w:tcPr>
          <w:p>
            <w:pPr>
              <w:keepNext w:val="0"/>
              <w:spacing w:before="40" w:after="40" w:line="240" w:lineRule="auto"/>
            </w:pPr>
            <w:r>
              <w:rPr>
                <w:rFonts w:ascii="Arial" w:hAnsi="Arial" w:cs="Arial" w:eastAsia="Arial"/>
                <w:b w:val="0"/>
                <w:i w:val="0"/>
                <w:sz w:val="18"/>
              </w:rPr>
              <w:t>Retire</w:t>
            </w:r>
          </w:p>
        </w:tc>
        <w:tc>
          <w:tcPr>
            <w:tcW w:type="dxa" w:w="7344"/>
          </w:tcPr>
          <w:p>
            <w:pPr>
              <w:keepNext w:val="0"/>
              <w:spacing w:before="40" w:after="40" w:line="240" w:lineRule="auto"/>
            </w:pPr>
            <w:r>
              <w:rPr>
                <w:rFonts w:ascii="Arial" w:hAnsi="Arial" w:cs="Arial" w:eastAsia="Arial"/>
                <w:b w:val="0"/>
                <w:i w:val="0"/>
                <w:sz w:val="18"/>
              </w:rPr>
              <w:t>Data is archived or disposed of securely (SAMA-22).</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What this standard requires</w:t>
      </w:r>
    </w:p>
    <w:p>
      <w:pPr>
        <w:keepNext/>
        <w:spacing w:before="160" w:after="80" w:line="264" w:lineRule="auto"/>
      </w:pPr>
      <w:r>
        <w:rPr>
          <w:rFonts w:ascii="Arial" w:hAnsi="Arial" w:cs="Arial" w:eastAsia="Arial"/>
          <w:b/>
          <w:i w:val="0"/>
          <w:color w:val="1B253B"/>
          <w:sz w:val="23"/>
        </w:rPr>
        <w:t>Secure coding</w:t>
      </w:r>
    </w:p>
    <w:p>
      <w:pPr>
        <w:keepNext w:val="0"/>
        <w:spacing w:before="0" w:after="120" w:line="276" w:lineRule="auto"/>
      </w:pPr>
      <w:r>
        <w:rPr>
          <w:rFonts w:ascii="Arial" w:hAnsi="Arial" w:cs="Arial" w:eastAsia="Arial"/>
          <w:b w:val="0"/>
          <w:i w:val="0"/>
          <w:sz w:val="21"/>
        </w:rPr>
        <w:t xml:space="preserve">Developers follow the secure coding standard, </w:t>
      </w:r>
      <w:sdt>
        <w:sdtPr>
          <w:alias w:val="based on a recognised guide such as the OWASP Secure Coding "/>
          <w:tag w:val="17.coding"/>
        </w:sdtPr>
        <w:sdtContent>
          <w:r>
            <w:rPr>
              <w:rFonts w:ascii="Arial" w:hAnsi="Arial" w:cs="Arial" w:eastAsia="Arial"/>
              <w:b w:val="0"/>
              <w:i w:val="0"/>
              <w:sz w:val="21"/>
              <w:highlight w:val="yellow"/>
            </w:rPr>
            <w:t>&lt;based on a recognised guide such as the OWASP Secure Coding Practices&gt;</w:t>
          </w:r>
        </w:sdtContent>
      </w:sdt>
      <w:r>
        <w:rPr>
          <w:rFonts w:ascii="Arial" w:hAnsi="Arial" w:cs="Arial" w:eastAsia="Arial"/>
          <w:b w:val="0"/>
          <w:i w:val="0"/>
          <w:sz w:val="21"/>
        </w:rPr>
        <w:t>, and are trained in it.</w:t>
      </w:r>
    </w:p>
    <w:p>
      <w:pPr>
        <w:keepNext/>
        <w:spacing w:before="160" w:after="80" w:line="264" w:lineRule="auto"/>
      </w:pPr>
      <w:r>
        <w:rPr>
          <w:rFonts w:ascii="Arial" w:hAnsi="Arial" w:cs="Arial" w:eastAsia="Arial"/>
          <w:b/>
          <w:i w:val="0"/>
          <w:color w:val="1B253B"/>
          <w:sz w:val="23"/>
        </w:rPr>
        <w:t>Security controls in the application</w:t>
      </w:r>
    </w:p>
    <w:p>
      <w:pPr>
        <w:pStyle w:val="ListBullet"/>
        <w:keepNext w:val="0"/>
        <w:spacing w:before="0" w:after="60" w:line="276" w:lineRule="auto"/>
        <w:ind w:left="432" w:hanging="288"/>
      </w:pPr>
      <w:r>
        <w:rPr>
          <w:rFonts w:ascii="Arial" w:hAnsi="Arial" w:cs="Arial" w:eastAsia="Arial"/>
          <w:b w:val="0"/>
          <w:i w:val="0"/>
          <w:sz w:val="21"/>
        </w:rPr>
        <w:t>Secure configuration settings.</w:t>
      </w:r>
    </w:p>
    <w:p>
      <w:pPr>
        <w:pStyle w:val="ListBullet"/>
        <w:keepNext w:val="0"/>
        <w:spacing w:before="0" w:after="60" w:line="276" w:lineRule="auto"/>
        <w:ind w:left="432" w:hanging="288"/>
      </w:pPr>
      <w:r>
        <w:rPr>
          <w:rFonts w:ascii="Arial" w:hAnsi="Arial" w:cs="Arial" w:eastAsia="Arial"/>
          <w:b w:val="0"/>
          <w:i w:val="0"/>
          <w:sz w:val="21"/>
        </w:rPr>
        <w:t>Events to monitor and keep, including system access and data access.</w:t>
      </w:r>
    </w:p>
    <w:p>
      <w:pPr>
        <w:pStyle w:val="ListBullet"/>
        <w:keepNext w:val="0"/>
        <w:spacing w:before="0" w:after="60" w:line="276" w:lineRule="auto"/>
        <w:ind w:left="432" w:hanging="288"/>
      </w:pPr>
      <w:r>
        <w:rPr>
          <w:rFonts w:ascii="Arial" w:hAnsi="Arial" w:cs="Arial" w:eastAsia="Arial"/>
          <w:b w:val="0"/>
          <w:i w:val="0"/>
          <w:sz w:val="21"/>
        </w:rPr>
        <w:t>Identity and access management, in line with SAMA-16.</w:t>
      </w:r>
    </w:p>
    <w:p>
      <w:pPr>
        <w:keepNext w:val="0"/>
        <w:spacing w:before="0" w:after="40" w:line="240" w:lineRule="auto"/>
      </w:pPr>
    </w:p>
    <w:p>
      <w:pPr>
        <w:keepNext/>
        <w:spacing w:before="160" w:after="80" w:line="264" w:lineRule="auto"/>
      </w:pPr>
      <w:r>
        <w:rPr>
          <w:rFonts w:ascii="Arial" w:hAnsi="Arial" w:cs="Arial" w:eastAsia="Arial"/>
          <w:b/>
          <w:i w:val="0"/>
          <w:color w:val="1B253B"/>
          <w:sz w:val="23"/>
        </w:rPr>
        <w:t>Segregation of duties</w:t>
      </w:r>
    </w:p>
    <w:p>
      <w:pPr>
        <w:keepNext w:val="0"/>
        <w:spacing w:before="0" w:after="120" w:line="276" w:lineRule="auto"/>
      </w:pPr>
      <w:r>
        <w:rPr>
          <w:rFonts w:ascii="Arial" w:hAnsi="Arial" w:cs="Arial" w:eastAsia="Arial"/>
          <w:b w:val="0"/>
          <w:i w:val="0"/>
          <w:sz w:val="21"/>
        </w:rPr>
        <w:t>Duties inside the application are separated, supported by a documented authorisation matrix that says who may do what.</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Role</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May do</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May not do</w:t>
            </w:r>
          </w:p>
        </w:tc>
      </w:tr>
      <w:tr>
        <w:trPr>
          <w:cantSplit w:val="true"/>
        </w:trPr>
        <w:tc>
          <w:tcPr>
            <w:tcW w:type="dxa" w:w="2304"/>
          </w:tcPr>
          <w:p>
            <w:pPr>
              <w:keepNext w:val="0"/>
              <w:spacing w:before="40" w:after="40" w:line="240" w:lineRule="auto"/>
            </w:pPr>
            <w:sdt>
              <w:sdtPr>
                <w:alias w:val="Role"/>
                <w:tag w:val="17.t4.r0.c0"/>
              </w:sdtPr>
              <w:sdtContent>
                <w:r>
                  <w:rPr>
                    <w:rFonts w:ascii="Arial" w:hAnsi="Arial" w:cs="Arial" w:eastAsia="Arial"/>
                    <w:b w:val="0"/>
                    <w:i w:val="0"/>
                    <w:sz w:val="18"/>
                    <w:highlight w:val="yellow"/>
                  </w:rPr>
                  <w:t>&lt;Role&gt;</w:t>
                </w:r>
              </w:sdtContent>
            </w:sdt>
          </w:p>
        </w:tc>
        <w:tc>
          <w:tcPr>
            <w:tcW w:type="dxa" w:w="3456"/>
          </w:tcPr>
          <w:p>
            <w:pPr>
              <w:keepNext w:val="0"/>
              <w:spacing w:before="40" w:after="40" w:line="240" w:lineRule="auto"/>
            </w:pPr>
            <w:sdt>
              <w:sdtPr>
                <w:alias w:val="Allowed"/>
                <w:tag w:val="17.t4.r0.c1"/>
              </w:sdtPr>
              <w:sdtContent>
                <w:r>
                  <w:rPr>
                    <w:rFonts w:ascii="Arial" w:hAnsi="Arial" w:cs="Arial" w:eastAsia="Arial"/>
                    <w:b w:val="0"/>
                    <w:i w:val="0"/>
                    <w:sz w:val="18"/>
                    <w:highlight w:val="yellow"/>
                  </w:rPr>
                  <w:t>&lt;Allowed&gt;</w:t>
                </w:r>
              </w:sdtContent>
            </w:sdt>
          </w:p>
        </w:tc>
        <w:tc>
          <w:tcPr>
            <w:tcW w:type="dxa" w:w="3456"/>
          </w:tcPr>
          <w:p>
            <w:pPr>
              <w:keepNext w:val="0"/>
              <w:spacing w:before="40" w:after="40" w:line="240" w:lineRule="auto"/>
            </w:pPr>
            <w:sdt>
              <w:sdtPr>
                <w:alias w:val="Not allowed"/>
                <w:tag w:val="17.t4.r0.c2"/>
              </w:sdtPr>
              <w:sdtContent>
                <w:r>
                  <w:rPr>
                    <w:rFonts w:ascii="Arial" w:hAnsi="Arial" w:cs="Arial" w:eastAsia="Arial"/>
                    <w:b w:val="0"/>
                    <w:i w:val="0"/>
                    <w:sz w:val="18"/>
                    <w:highlight w:val="yellow"/>
                  </w:rPr>
                  <w:t>&lt;Not allowed&gt;</w:t>
                </w:r>
              </w:sdtContent>
            </w:sdt>
          </w:p>
        </w:tc>
      </w:tr>
      <w:tr>
        <w:trPr>
          <w:cantSplit w:val="true"/>
        </w:trPr>
        <w:tc>
          <w:tcPr>
            <w:tcW w:type="dxa" w:w="2304"/>
          </w:tcPr>
          <w:p>
            <w:pPr>
              <w:keepNext w:val="0"/>
              <w:spacing w:before="40" w:after="40" w:line="240" w:lineRule="auto"/>
            </w:pPr>
            <w:sdt>
              <w:sdtPr>
                <w:alias w:val="Role"/>
                <w:tag w:val="17.t4.r1.c0"/>
              </w:sdtPr>
              <w:sdtContent>
                <w:r>
                  <w:rPr>
                    <w:rFonts w:ascii="Arial" w:hAnsi="Arial" w:cs="Arial" w:eastAsia="Arial"/>
                    <w:b w:val="0"/>
                    <w:i w:val="0"/>
                    <w:sz w:val="18"/>
                    <w:highlight w:val="yellow"/>
                  </w:rPr>
                  <w:t>&lt;Role&gt;</w:t>
                </w:r>
              </w:sdtContent>
            </w:sdt>
          </w:p>
        </w:tc>
        <w:tc>
          <w:tcPr>
            <w:tcW w:type="dxa" w:w="3456"/>
          </w:tcPr>
          <w:p>
            <w:pPr>
              <w:keepNext w:val="0"/>
              <w:spacing w:before="40" w:after="40" w:line="240" w:lineRule="auto"/>
            </w:pPr>
            <w:sdt>
              <w:sdtPr>
                <w:alias w:val="Allowed"/>
                <w:tag w:val="17.t4.r1.c1"/>
              </w:sdtPr>
              <w:sdtContent>
                <w:r>
                  <w:rPr>
                    <w:rFonts w:ascii="Arial" w:hAnsi="Arial" w:cs="Arial" w:eastAsia="Arial"/>
                    <w:b w:val="0"/>
                    <w:i w:val="0"/>
                    <w:sz w:val="18"/>
                    <w:highlight w:val="yellow"/>
                  </w:rPr>
                  <w:t>&lt;Allowed&gt;</w:t>
                </w:r>
              </w:sdtContent>
            </w:sdt>
          </w:p>
        </w:tc>
        <w:tc>
          <w:tcPr>
            <w:tcW w:type="dxa" w:w="3456"/>
          </w:tcPr>
          <w:p>
            <w:pPr>
              <w:keepNext w:val="0"/>
              <w:spacing w:before="40" w:after="40" w:line="240" w:lineRule="auto"/>
            </w:pPr>
            <w:sdt>
              <w:sdtPr>
                <w:alias w:val="Not allowed"/>
                <w:tag w:val="17.t4.r1.c2"/>
              </w:sdtPr>
              <w:sdtContent>
                <w:r>
                  <w:rPr>
                    <w:rFonts w:ascii="Arial" w:hAnsi="Arial" w:cs="Arial" w:eastAsia="Arial"/>
                    <w:b w:val="0"/>
                    <w:i w:val="0"/>
                    <w:sz w:val="18"/>
                    <w:highlight w:val="yellow"/>
                  </w:rPr>
                  <w:t>&lt;Not allowed&gt;</w:t>
                </w:r>
              </w:sdtContent>
            </w:sdt>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Protecting data</w:t>
      </w:r>
    </w:p>
    <w:p>
      <w:pPr>
        <w:keepNext w:val="0"/>
        <w:spacing w:before="0" w:after="120" w:line="276" w:lineRule="auto"/>
      </w:pPr>
      <w:r>
        <w:rPr>
          <w:rFonts w:ascii="Arial" w:hAnsi="Arial" w:cs="Arial" w:eastAsia="Arial"/>
          <w:b w:val="0"/>
          <w:i w:val="0"/>
          <w:sz w:val="21"/>
        </w:rPr>
        <w:t>Data is protected in line with the agreed classification scheme (SAMA-14), including the privacy of customer data, so that it is not open to unauthorised access or to intended or unintended data leakage: minimised, masked or encrypted as its class requires, and never used in test environments in clear form.</w:t>
      </w:r>
    </w:p>
    <w:p>
      <w:pPr>
        <w:keepNext/>
        <w:spacing w:before="160" w:after="80" w:line="264" w:lineRule="auto"/>
      </w:pPr>
      <w:r>
        <w:rPr>
          <w:rFonts w:ascii="Arial" w:hAnsi="Arial" w:cs="Arial" w:eastAsia="Arial"/>
          <w:b/>
          <w:i w:val="0"/>
          <w:color w:val="1B253B"/>
          <w:sz w:val="23"/>
        </w:rPr>
        <w:t>Vulnerability and patch management</w:t>
      </w:r>
    </w:p>
    <w:p>
      <w:pPr>
        <w:keepNext w:val="0"/>
        <w:spacing w:before="0" w:after="120" w:line="276" w:lineRule="auto"/>
      </w:pPr>
      <w:r>
        <w:rPr>
          <w:rFonts w:ascii="Arial" w:hAnsi="Arial" w:cs="Arial" w:eastAsia="Arial"/>
          <w:b w:val="0"/>
          <w:i w:val="0"/>
          <w:sz w:val="21"/>
        </w:rPr>
        <w:t>Application vulnerabilities and patches are handled under SAMA-28.</w:t>
      </w:r>
    </w:p>
    <w:p>
      <w:pPr>
        <w:keepNext/>
        <w:spacing w:before="160" w:after="80" w:line="264" w:lineRule="auto"/>
      </w:pPr>
      <w:r>
        <w:rPr>
          <w:rFonts w:ascii="Arial" w:hAnsi="Arial" w:cs="Arial" w:eastAsia="Arial"/>
          <w:b/>
          <w:i w:val="0"/>
          <w:color w:val="1B253B"/>
          <w:sz w:val="23"/>
        </w:rPr>
        <w:t>Backup and recovery</w:t>
      </w:r>
    </w:p>
    <w:p>
      <w:pPr>
        <w:keepNext w:val="0"/>
        <w:spacing w:before="0" w:after="120" w:line="276" w:lineRule="auto"/>
      </w:pPr>
      <w:r>
        <w:rPr>
          <w:rFonts w:ascii="Arial" w:hAnsi="Arial" w:cs="Arial" w:eastAsia="Arial"/>
          <w:b w:val="0"/>
          <w:i w:val="0"/>
          <w:sz w:val="21"/>
        </w:rPr>
        <w:t xml:space="preserve">Applications and their data are backed up on a schedule that matches their recovery objectives, and restores are tested </w:t>
      </w:r>
      <w:sdt>
        <w:sdtPr>
          <w:alias w:val="every year"/>
          <w:tag w:val="17.restore"/>
        </w:sdtPr>
        <w:sdtContent>
          <w:r>
            <w:rPr>
              <w:rFonts w:ascii="Arial" w:hAnsi="Arial" w:cs="Arial" w:eastAsia="Arial"/>
              <w:b w:val="0"/>
              <w:i w:val="0"/>
              <w:sz w:val="21"/>
              <w:highlight w:val="yellow"/>
            </w:rPr>
            <w:t>&lt;every year&gt;</w:t>
          </w:r>
        </w:sdtContent>
      </w:sdt>
      <w:r>
        <w:rPr>
          <w:rFonts w:ascii="Arial" w:hAnsi="Arial" w:cs="Arial" w:eastAsia="Arial"/>
          <w:b w:val="0"/>
          <w:i w:val="0"/>
          <w:sz w:val="21"/>
        </w:rPr>
        <w:t>.</w:t>
      </w:r>
    </w:p>
    <w:p>
      <w:pPr>
        <w:keepNext/>
        <w:spacing w:before="160" w:after="80" w:line="264" w:lineRule="auto"/>
      </w:pPr>
      <w:r>
        <w:rPr>
          <w:rFonts w:ascii="Arial" w:hAnsi="Arial" w:cs="Arial" w:eastAsia="Arial"/>
          <w:b/>
          <w:i w:val="0"/>
          <w:color w:val="1B253B"/>
          <w:sz w:val="23"/>
        </w:rPr>
        <w:t>Periodic compliance reviews</w:t>
      </w:r>
    </w:p>
    <w:p>
      <w:pPr>
        <w:keepNext w:val="0"/>
        <w:spacing w:before="0" w:after="120" w:line="276" w:lineRule="auto"/>
      </w:pPr>
      <w:r>
        <w:rPr>
          <w:rFonts w:ascii="Arial" w:hAnsi="Arial" w:cs="Arial" w:eastAsia="Arial"/>
          <w:b w:val="0"/>
          <w:i w:val="0"/>
          <w:sz w:val="21"/>
        </w:rPr>
        <w:t xml:space="preserve">Compliance with this standard is reviewed </w:t>
      </w:r>
      <w:sdt>
        <w:sdtPr>
          <w:alias w:val="every year"/>
          <w:tag w:val="17.compliance_rev"/>
        </w:sdtPr>
        <w:sdtContent>
          <w:r>
            <w:rPr>
              <w:rFonts w:ascii="Arial" w:hAnsi="Arial" w:cs="Arial" w:eastAsia="Arial"/>
              <w:b w:val="0"/>
              <w:i w:val="0"/>
              <w:sz w:val="21"/>
              <w:highlight w:val="yellow"/>
            </w:rPr>
            <w:t>&lt;every year&gt;</w:t>
          </w:r>
        </w:sdtContent>
      </w:sdt>
      <w:r>
        <w:rPr>
          <w:rFonts w:ascii="Arial" w:hAnsi="Arial" w:cs="Arial" w:eastAsia="Arial"/>
          <w:b w:val="0"/>
          <w:i w:val="0"/>
          <w:sz w:val="21"/>
        </w:rPr>
        <w:t xml:space="preserve"> for critical applications, and the results go to the CISO.</w:t>
      </w:r>
    </w:p>
    <w:p>
      <w:pPr>
        <w:keepNext/>
        <w:spacing w:before="280" w:after="120" w:line="264" w:lineRule="auto"/>
      </w:pPr>
      <w:r>
        <w:rPr>
          <w:rFonts w:ascii="Arial" w:hAnsi="Arial" w:cs="Arial" w:eastAsia="Arial"/>
          <w:b/>
          <w:i w:val="0"/>
          <w:color w:val="1B253B"/>
          <w:sz w:val="28"/>
        </w:rPr>
        <w:t>5.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7.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Releases with a security sign-off</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High findings open at go-live</w:t>
            </w:r>
          </w:p>
        </w:tc>
        <w:tc>
          <w:tcPr>
            <w:tcW w:type="dxa" w:w="2592"/>
          </w:tcPr>
          <w:p>
            <w:pPr>
              <w:keepNext w:val="0"/>
              <w:spacing w:before="40" w:after="40" w:line="240" w:lineRule="auto"/>
            </w:pPr>
            <w:r>
              <w:rPr>
                <w:rFonts w:ascii="Arial" w:hAnsi="Arial" w:cs="Arial" w:eastAsia="Arial"/>
                <w:b w:val="0"/>
                <w:i w:val="0"/>
                <w:sz w:val="18"/>
              </w:rPr>
              <w:t>None</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7.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8.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3.3.6.1</w:t>
            </w:r>
          </w:p>
        </w:tc>
        <w:tc>
          <w:tcPr>
            <w:tcW w:type="dxa" w:w="7920"/>
          </w:tcPr>
          <w:p>
            <w:pPr>
              <w:keepNext w:val="0"/>
              <w:spacing w:before="40" w:after="40" w:line="240" w:lineRule="auto"/>
            </w:pPr>
            <w:r>
              <w:rPr>
                <w:rFonts w:ascii="Arial" w:hAnsi="Arial" w:cs="Arial" w:eastAsia="Arial"/>
                <w:b w:val="0"/>
                <w:i w:val="0"/>
                <w:sz w:val="18"/>
              </w:rPr>
              <w:t>Standard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3.3.6.2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3.3.6.3</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3.3.6.4</w:t>
            </w:r>
          </w:p>
        </w:tc>
        <w:tc>
          <w:tcPr>
            <w:tcW w:type="dxa" w:w="7920"/>
          </w:tcPr>
          <w:p>
            <w:pPr>
              <w:keepNext w:val="0"/>
              <w:spacing w:before="40" w:after="40" w:line="240" w:lineRule="auto"/>
            </w:pPr>
            <w:r>
              <w:rPr>
                <w:rFonts w:ascii="Arial" w:hAnsi="Arial" w:cs="Arial" w:eastAsia="Arial"/>
                <w:b w:val="0"/>
                <w:i w:val="0"/>
                <w:sz w:val="18"/>
              </w:rPr>
              <w:t>Development follows the approved secure SDLC</w:t>
            </w:r>
          </w:p>
        </w:tc>
      </w:tr>
      <w:tr>
        <w:trPr>
          <w:cantSplit w:val="true"/>
        </w:trPr>
        <w:tc>
          <w:tcPr>
            <w:tcW w:type="dxa" w:w="1296"/>
          </w:tcPr>
          <w:p>
            <w:pPr>
              <w:keepNext w:val="0"/>
              <w:spacing w:before="40" w:after="40" w:line="240" w:lineRule="auto"/>
            </w:pPr>
            <w:r>
              <w:rPr>
                <w:rFonts w:ascii="Arial" w:hAnsi="Arial" w:cs="Arial" w:eastAsia="Arial"/>
                <w:b w:val="0"/>
                <w:i w:val="0"/>
                <w:sz w:val="18"/>
              </w:rPr>
              <w:t>3.3.6.5</w:t>
            </w:r>
          </w:p>
        </w:tc>
        <w:tc>
          <w:tcPr>
            <w:tcW w:type="dxa" w:w="7920"/>
          </w:tcPr>
          <w:p>
            <w:pPr>
              <w:keepNext w:val="0"/>
              <w:spacing w:before="40" w:after="40" w:line="240" w:lineRule="auto"/>
            </w:pPr>
            <w:r>
              <w:rPr>
                <w:rFonts w:ascii="Arial" w:hAnsi="Arial" w:cs="Arial" w:eastAsia="Arial"/>
                <w:b w:val="0"/>
                <w:i w:val="0"/>
                <w:sz w:val="18"/>
              </w:rPr>
              <w:t>Secure coding, controls, segregation of duties, data protection, patching, backup and recovery, compliance reviews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Application Security Standard and Secure Development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Security Standard and Secure Development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