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Infrastructure Security Standard</w:t>
      </w:r>
    </w:p>
    <w:p>
      <w:pPr>
        <w:keepNext w:val="0"/>
        <w:spacing w:before="0" w:after="200" w:line="240" w:lineRule="auto"/>
      </w:pPr>
      <w:r>
        <w:rPr>
          <w:rFonts w:ascii="Arial" w:hAnsi="Arial" w:cs="Arial" w:eastAsia="Arial"/>
          <w:b w:val="0"/>
          <w:i w:val="0"/>
          <w:color w:val="5B6678"/>
          <w:sz w:val="21"/>
        </w:rPr>
        <w:t>Security rules for servers, networks, endpoints and other infrastructure in all sites.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SAMA-19</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sets the security rules for the infrastructure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it is protected, monitored and kept up to date.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infrastructure in the main data centres, the disaster recovery sites and the office spaces: operating systems, servers, virtual machines, firewalls, network devices, intrusion detection and prevention, wireless networks, gateway and proxy servers, email gateways, external connections, databases, file shares, workstations, laptops, tablets, mobile devices and telephone systems.</w:t>
      </w:r>
    </w:p>
    <w:p>
      <w:pPr>
        <w:keepNext/>
        <w:spacing w:before="280" w:after="120" w:line="264" w:lineRule="auto"/>
      </w:pPr>
      <w:r>
        <w:rPr>
          <w:rFonts w:ascii="Arial" w:hAnsi="Arial" w:cs="Arial" w:eastAsia="Arial"/>
          <w:b/>
          <w:i w:val="0"/>
          <w:color w:val="1B253B"/>
          <w:sz w:val="28"/>
        </w:rPr>
        <w:t>3. Security controls</w:t>
      </w:r>
    </w:p>
    <w:p>
      <w:pPr>
        <w:pStyle w:val="ListBullet"/>
        <w:keepNext w:val="0"/>
        <w:spacing w:before="0" w:after="60" w:line="276" w:lineRule="auto"/>
        <w:ind w:left="432" w:hanging="288"/>
      </w:pPr>
      <w:r>
        <w:rPr>
          <w:rFonts w:ascii="Arial" w:hAnsi="Arial" w:cs="Arial" w:eastAsia="Arial"/>
          <w:b/>
          <w:i w:val="0"/>
          <w:sz w:val="21"/>
        </w:rPr>
        <w:t>Secure configuration.</w:t>
      </w:r>
      <w:r>
        <w:rPr>
          <w:rFonts w:ascii="Arial" w:hAnsi="Arial" w:cs="Arial" w:eastAsia="Arial"/>
          <w:b w:val="0"/>
          <w:i w:val="0"/>
          <w:sz w:val="21"/>
        </w:rPr>
        <w:t xml:space="preserve"> Approved baselines for each type of device. Anything else is an exception.</w:t>
      </w:r>
    </w:p>
    <w:p>
      <w:pPr>
        <w:pStyle w:val="ListBullet"/>
        <w:keepNext w:val="0"/>
        <w:spacing w:before="0" w:after="60" w:line="276" w:lineRule="auto"/>
        <w:ind w:left="432" w:hanging="288"/>
      </w:pPr>
      <w:r>
        <w:rPr>
          <w:rFonts w:ascii="Arial" w:hAnsi="Arial" w:cs="Arial" w:eastAsia="Arial"/>
          <w:b/>
          <w:i w:val="0"/>
          <w:sz w:val="21"/>
        </w:rPr>
        <w:t>Monitoring.</w:t>
      </w:r>
      <w:r>
        <w:rPr>
          <w:rFonts w:ascii="Arial" w:hAnsi="Arial" w:cs="Arial" w:eastAsia="Arial"/>
          <w:b w:val="0"/>
          <w:i w:val="0"/>
          <w:sz w:val="21"/>
        </w:rPr>
        <w:t xml:space="preserve"> Events to monitor and keep are set in the event monitoring standard (SAMA-25).</w:t>
      </w:r>
    </w:p>
    <w:p>
      <w:pPr>
        <w:pStyle w:val="ListBullet"/>
        <w:keepNext w:val="0"/>
        <w:spacing w:before="0" w:after="60" w:line="276" w:lineRule="auto"/>
        <w:ind w:left="432" w:hanging="288"/>
      </w:pPr>
      <w:r>
        <w:rPr>
          <w:rFonts w:ascii="Arial" w:hAnsi="Arial" w:cs="Arial" w:eastAsia="Arial"/>
          <w:b/>
          <w:i w:val="0"/>
          <w:sz w:val="21"/>
        </w:rPr>
        <w:t>Data leakage prevention.</w:t>
      </w:r>
      <w:r>
        <w:rPr>
          <w:rFonts w:ascii="Arial" w:hAnsi="Arial" w:cs="Arial" w:eastAsia="Arial"/>
          <w:b w:val="0"/>
          <w:i w:val="0"/>
          <w:sz w:val="21"/>
        </w:rPr>
        <w:t xml:space="preserve"> Controls stop sensitive information leaving by email, web, removable media and cloud.</w:t>
      </w:r>
    </w:p>
    <w:p>
      <w:pPr>
        <w:pStyle w:val="ListBullet"/>
        <w:keepNext w:val="0"/>
        <w:spacing w:before="0" w:after="60" w:line="276" w:lineRule="auto"/>
        <w:ind w:left="432" w:hanging="288"/>
      </w:pPr>
      <w:r>
        <w:rPr>
          <w:rFonts w:ascii="Arial" w:hAnsi="Arial" w:cs="Arial" w:eastAsia="Arial"/>
          <w:b/>
          <w:i w:val="0"/>
          <w:sz w:val="21"/>
        </w:rPr>
        <w:t>Identity and access management.</w:t>
      </w:r>
      <w:r>
        <w:rPr>
          <w:rFonts w:ascii="Arial" w:hAnsi="Arial" w:cs="Arial" w:eastAsia="Arial"/>
          <w:b w:val="0"/>
          <w:i w:val="0"/>
          <w:sz w:val="21"/>
        </w:rPr>
        <w:t xml:space="preserve"> As SAMA-16, including remote maintenance.</w:t>
      </w:r>
    </w:p>
    <w:p>
      <w:pPr>
        <w:pStyle w:val="ListBullet"/>
        <w:keepNext w:val="0"/>
        <w:spacing w:before="0" w:after="60" w:line="276" w:lineRule="auto"/>
        <w:ind w:left="432" w:hanging="288"/>
      </w:pPr>
      <w:r>
        <w:rPr>
          <w:rFonts w:ascii="Arial" w:hAnsi="Arial" w:cs="Arial" w:eastAsia="Arial"/>
          <w:b/>
          <w:i w:val="0"/>
          <w:sz w:val="21"/>
        </w:rPr>
        <w:t>Segregation of duties.</w:t>
      </w:r>
      <w:r>
        <w:rPr>
          <w:rFonts w:ascii="Arial" w:hAnsi="Arial" w:cs="Arial" w:eastAsia="Arial"/>
          <w:b w:val="0"/>
          <w:i w:val="0"/>
          <w:sz w:val="21"/>
        </w:rPr>
        <w:t xml:space="preserve"> A documented authorisation matrix says who may administer what.</w:t>
      </w:r>
    </w:p>
    <w:p>
      <w:pPr>
        <w:pStyle w:val="ListBullet"/>
        <w:keepNext w:val="0"/>
        <w:spacing w:before="0" w:after="60" w:line="276" w:lineRule="auto"/>
        <w:ind w:left="432" w:hanging="288"/>
      </w:pPr>
      <w:r>
        <w:rPr>
          <w:rFonts w:ascii="Arial" w:hAnsi="Arial" w:cs="Arial" w:eastAsia="Arial"/>
          <w:b/>
          <w:i w:val="0"/>
          <w:sz w:val="21"/>
        </w:rPr>
        <w:t>Protecting data.</w:t>
      </w:r>
      <w:r>
        <w:rPr>
          <w:rFonts w:ascii="Arial" w:hAnsi="Arial" w:cs="Arial" w:eastAsia="Arial"/>
          <w:b w:val="0"/>
          <w:i w:val="0"/>
          <w:sz w:val="21"/>
        </w:rPr>
        <w:t xml:space="preserve"> In line with the agreed classification scheme, including customer privacy, against unauthorised access and intended or unintended data leakage.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Approved software and secure protocols</w:t>
      </w:r>
    </w:p>
    <w:p>
      <w:pPr>
        <w:keepNext w:val="0"/>
        <w:spacing w:before="0" w:after="120" w:line="276" w:lineRule="auto"/>
      </w:pPr>
      <w:r>
        <w:rPr>
          <w:rFonts w:ascii="Arial" w:hAnsi="Arial" w:cs="Arial" w:eastAsia="Arial"/>
          <w:b w:val="0"/>
          <w:i w:val="0"/>
          <w:sz w:val="21"/>
        </w:rPr>
        <w:t xml:space="preserve">Only approved software is installed, from approved sources. Only secure protocols are used: </w:t>
      </w:r>
      <w:sdt>
        <w:sdtPr>
          <w:alias w:val="TLS 1.2 or higher, SSH, and secure management channels"/>
          <w:tag w:val="19.protocols"/>
        </w:sdtPr>
        <w:sdtContent>
          <w:r>
            <w:rPr>
              <w:rFonts w:ascii="Arial" w:hAnsi="Arial" w:cs="Arial" w:eastAsia="Arial"/>
              <w:b w:val="0"/>
              <w:i w:val="0"/>
              <w:sz w:val="21"/>
              <w:highlight w:val="yellow"/>
            </w:rPr>
            <w:t>&lt;TLS 1.2 or higher, SSH, and secure management channels&gt;</w:t>
          </w:r>
        </w:sdtContent>
      </w:sdt>
      <w:r>
        <w:rPr>
          <w:rFonts w:ascii="Arial" w:hAnsi="Arial" w:cs="Arial" w:eastAsia="Arial"/>
          <w:b w:val="0"/>
          <w:i w:val="0"/>
          <w:sz w:val="21"/>
        </w:rPr>
        <w:t>. Insecure protocols are disabled or restricted by exception.</w:t>
      </w:r>
    </w:p>
    <w:p>
      <w:pPr>
        <w:keepNext/>
        <w:spacing w:before="280" w:after="120" w:line="264" w:lineRule="auto"/>
      </w:pPr>
      <w:r>
        <w:rPr>
          <w:rFonts w:ascii="Arial" w:hAnsi="Arial" w:cs="Arial" w:eastAsia="Arial"/>
          <w:b/>
          <w:i w:val="0"/>
          <w:color w:val="1B253B"/>
          <w:sz w:val="28"/>
        </w:rPr>
        <w:t>5. Network segmentation</w:t>
      </w:r>
    </w:p>
    <w:p>
      <w:pPr>
        <w:keepNext w:val="0"/>
        <w:spacing w:before="0" w:after="120" w:line="276" w:lineRule="auto"/>
      </w:pPr>
      <w:r>
        <w:rPr>
          <w:rFonts w:ascii="Arial" w:hAnsi="Arial" w:cs="Arial" w:eastAsia="Arial"/>
          <w:b w:val="0"/>
          <w:i w:val="0"/>
          <w:sz w:val="21"/>
        </w:rPr>
        <w:t xml:space="preserve">The network is divided by risk into zones, such as </w:t>
      </w:r>
      <w:sdt>
        <w:sdtPr>
          <w:alias w:val="the internet edge, the DMZ, the internal network, the data c"/>
          <w:tag w:val="19.zones"/>
        </w:sdtPr>
        <w:sdtContent>
          <w:r>
            <w:rPr>
              <w:rFonts w:ascii="Arial" w:hAnsi="Arial" w:cs="Arial" w:eastAsia="Arial"/>
              <w:b w:val="0"/>
              <w:i w:val="0"/>
              <w:sz w:val="21"/>
              <w:highlight w:val="yellow"/>
            </w:rPr>
            <w:t>&lt;the internet edge, the DMZ, the internal network, the data centre, payment systems and management networks&gt;</w:t>
          </w:r>
        </w:sdtContent>
      </w:sdt>
      <w:r>
        <w:rPr>
          <w:rFonts w:ascii="Arial" w:hAnsi="Arial" w:cs="Arial" w:eastAsia="Arial"/>
          <w:b w:val="0"/>
          <w:i w:val="0"/>
          <w:sz w:val="21"/>
        </w:rPr>
        <w:t>, with traffic between them controlled and logged.</w:t>
      </w:r>
    </w:p>
    <w:p>
      <w:pPr>
        <w:keepNext/>
        <w:spacing w:before="280" w:after="120" w:line="264" w:lineRule="auto"/>
      </w:pPr>
      <w:r>
        <w:rPr>
          <w:rFonts w:ascii="Arial" w:hAnsi="Arial" w:cs="Arial" w:eastAsia="Arial"/>
          <w:b/>
          <w:i w:val="0"/>
          <w:color w:val="1B253B"/>
          <w:sz w:val="28"/>
        </w:rPr>
        <w:t>6. Protection against malicious code</w:t>
      </w:r>
    </w:p>
    <w:p>
      <w:pPr>
        <w:pStyle w:val="ListBullet"/>
        <w:keepNext w:val="0"/>
        <w:spacing w:before="0" w:after="60" w:line="276" w:lineRule="auto"/>
        <w:ind w:left="432" w:hanging="288"/>
      </w:pPr>
      <w:r>
        <w:rPr>
          <w:rFonts w:ascii="Arial" w:hAnsi="Arial" w:cs="Arial" w:eastAsia="Arial"/>
          <w:b w:val="0"/>
          <w:i w:val="0"/>
          <w:sz w:val="21"/>
        </w:rPr>
        <w:t>Malware protection on every endpoint and server where it can run.</w:t>
      </w:r>
    </w:p>
    <w:p>
      <w:pPr>
        <w:pStyle w:val="ListBullet"/>
        <w:keepNext w:val="0"/>
        <w:spacing w:before="0" w:after="60" w:line="276" w:lineRule="auto"/>
        <w:ind w:left="432" w:hanging="288"/>
      </w:pPr>
      <w:r>
        <w:rPr>
          <w:rFonts w:ascii="Arial" w:hAnsi="Arial" w:cs="Arial" w:eastAsia="Arial"/>
          <w:b w:val="0"/>
          <w:i w:val="0"/>
          <w:sz w:val="21"/>
        </w:rPr>
        <w:t>Application whitelisting on critical systems and servers.</w:t>
      </w:r>
    </w:p>
    <w:p>
      <w:pPr>
        <w:pStyle w:val="ListBullet"/>
        <w:keepNext w:val="0"/>
        <w:spacing w:before="0" w:after="60" w:line="276" w:lineRule="auto"/>
        <w:ind w:left="432" w:hanging="288"/>
      </w:pPr>
      <w:r>
        <w:rPr>
          <w:rFonts w:ascii="Arial" w:hAnsi="Arial" w:cs="Arial" w:eastAsia="Arial"/>
          <w:b w:val="0"/>
          <w:i w:val="0"/>
          <w:sz w:val="21"/>
        </w:rPr>
        <w:t xml:space="preserve">Protection against advanced persistent threats, </w:t>
      </w:r>
      <w:sdt>
        <w:sdtPr>
          <w:alias w:val="through endpoint detection, email and web filtering, and mon"/>
          <w:tag w:val="19.apt"/>
        </w:sdtPr>
        <w:sdtContent>
          <w:r>
            <w:rPr>
              <w:rFonts w:ascii="Arial" w:hAnsi="Arial" w:cs="Arial" w:eastAsia="Arial"/>
              <w:b w:val="0"/>
              <w:i w:val="0"/>
              <w:sz w:val="21"/>
              <w:highlight w:val="yellow"/>
            </w:rPr>
            <w:t>&lt;through endpoint detection, email and web filtering, and monitoring&gt;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Vulnerability and patch management</w:t>
      </w:r>
    </w:p>
    <w:p>
      <w:pPr>
        <w:keepNext w:val="0"/>
        <w:spacing w:before="0" w:after="120" w:line="276" w:lineRule="auto"/>
      </w:pPr>
      <w:r>
        <w:rPr>
          <w:rFonts w:ascii="Arial" w:hAnsi="Arial" w:cs="Arial" w:eastAsia="Arial"/>
          <w:b w:val="0"/>
          <w:i w:val="0"/>
          <w:sz w:val="21"/>
        </w:rPr>
        <w:t>Handled under SAMA-28. Infrastructure is scanned and patched within the times set there.</w:t>
      </w:r>
    </w:p>
    <w:p>
      <w:pPr>
        <w:keepNext/>
        <w:spacing w:before="280" w:after="120" w:line="264" w:lineRule="auto"/>
      </w:pPr>
      <w:r>
        <w:rPr>
          <w:rFonts w:ascii="Arial" w:hAnsi="Arial" w:cs="Arial" w:eastAsia="Arial"/>
          <w:b/>
          <w:i w:val="0"/>
          <w:color w:val="1B253B"/>
          <w:sz w:val="28"/>
        </w:rPr>
        <w:t>8. DDoS protection</w:t>
      </w:r>
    </w:p>
    <w:p>
      <w:pPr>
        <w:keepNext w:val="0"/>
        <w:spacing w:before="0" w:after="120" w:line="276" w:lineRule="auto"/>
      </w:pPr>
      <w:r>
        <w:rPr>
          <w:rFonts w:ascii="Arial" w:hAnsi="Arial" w:cs="Arial" w:eastAsia="Arial"/>
          <w:b w:val="0"/>
          <w:i w:val="0"/>
          <w:sz w:val="21"/>
        </w:rPr>
        <w:t>Where it applies, the organisation is protected against distributed denial of service attacks as follows:</w:t>
      </w:r>
    </w:p>
    <w:p>
      <w:pPr>
        <w:pStyle w:val="ListBullet"/>
        <w:keepNext w:val="0"/>
        <w:spacing w:before="0" w:after="60" w:line="276" w:lineRule="auto"/>
        <w:ind w:left="432" w:hanging="288"/>
      </w:pPr>
      <w:r>
        <w:rPr>
          <w:rFonts w:ascii="Arial" w:hAnsi="Arial" w:cs="Arial" w:eastAsia="Arial"/>
          <w:b w:val="0"/>
          <w:i w:val="0"/>
          <w:sz w:val="21"/>
        </w:rPr>
        <w:t xml:space="preserve">Scrubbing services are in place with an agreed bandwidth of </w:t>
      </w:r>
      <w:sdt>
        <w:sdtPr>
          <w:alias w:val="agreed with the provider"/>
          <w:tag w:val="19.bandwidth"/>
        </w:sdtPr>
        <w:sdtContent>
          <w:r>
            <w:rPr>
              <w:rFonts w:ascii="Arial" w:hAnsi="Arial" w:cs="Arial" w:eastAsia="Arial"/>
              <w:b w:val="0"/>
              <w:i w:val="0"/>
              <w:sz w:val="21"/>
              <w:highlight w:val="yellow"/>
            </w:rPr>
            <w:t>&lt;agreed with the provider&gt;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The SOC, the service provider and the scrubbing provider monitor 24 hours a day, 7 days a week.</w:t>
      </w:r>
    </w:p>
    <w:p>
      <w:pPr>
        <w:pStyle w:val="ListBullet"/>
        <w:keepNext w:val="0"/>
        <w:spacing w:before="0" w:after="60" w:line="276" w:lineRule="auto"/>
        <w:ind w:left="432" w:hanging="288"/>
      </w:pPr>
      <w:r>
        <w:rPr>
          <w:rFonts w:ascii="Arial" w:hAnsi="Arial" w:cs="Arial" w:eastAsia="Arial"/>
          <w:b w:val="0"/>
          <w:i w:val="0"/>
          <w:sz w:val="21"/>
        </w:rPr>
        <w:t>Scrubbing is tested at least twice a year.</w:t>
      </w:r>
    </w:p>
    <w:p>
      <w:pPr>
        <w:pStyle w:val="ListBullet"/>
        <w:keepNext w:val="0"/>
        <w:spacing w:before="0" w:after="60" w:line="276" w:lineRule="auto"/>
        <w:ind w:left="432" w:hanging="288"/>
      </w:pPr>
      <w:r>
        <w:rPr>
          <w:rFonts w:ascii="Arial" w:hAnsi="Arial" w:cs="Arial" w:eastAsia="Arial"/>
          <w:b w:val="0"/>
          <w:i w:val="0"/>
          <w:sz w:val="21"/>
        </w:rPr>
        <w:t>Protection covers both the main and the disaster recovery sites.</w:t>
      </w:r>
    </w:p>
    <w:p>
      <w:pPr>
        <w:keepNext w:val="0"/>
        <w:spacing w:before="0" w:after="40" w:line="240" w:lineRule="auto"/>
      </w:pPr>
    </w:p>
    <w:p>
      <w:pPr>
        <w:keepNext/>
        <w:spacing w:before="280" w:after="120" w:line="264" w:lineRule="auto"/>
      </w:pPr>
      <w:r>
        <w:rPr>
          <w:rFonts w:ascii="Arial" w:hAnsi="Arial" w:cs="Arial" w:eastAsia="Arial"/>
          <w:b/>
          <w:i w:val="0"/>
          <w:color w:val="1B253B"/>
          <w:sz w:val="28"/>
        </w:rPr>
        <w:t>9. Backup and recovery</w:t>
      </w:r>
    </w:p>
    <w:p>
      <w:pPr>
        <w:keepNext w:val="0"/>
        <w:spacing w:before="0" w:after="120" w:line="276" w:lineRule="auto"/>
      </w:pPr>
      <w:r>
        <w:rPr>
          <w:rFonts w:ascii="Arial" w:hAnsi="Arial" w:cs="Arial" w:eastAsia="Arial"/>
          <w:b w:val="0"/>
          <w:i w:val="0"/>
          <w:sz w:val="21"/>
        </w:rPr>
        <w:t xml:space="preserve">Infrastructure configuration and data are backed up according to recovery objectives, kept apart from the originals, and restored in tests </w:t>
      </w:r>
      <w:sdt>
        <w:sdtPr>
          <w:alias w:val="at least every year"/>
          <w:tag w:val="19.restore"/>
        </w:sdtPr>
        <w:sdtContent>
          <w:r>
            <w:rPr>
              <w:rFonts w:ascii="Arial" w:hAnsi="Arial" w:cs="Arial" w:eastAsia="Arial"/>
              <w:b w:val="0"/>
              <w:i w:val="0"/>
              <w:sz w:val="21"/>
              <w:highlight w:val="yellow"/>
            </w:rPr>
            <w:t>&lt;at least every year&gt;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10. Periodic compliance reviews</w:t>
      </w:r>
    </w:p>
    <w:p>
      <w:pPr>
        <w:keepNext w:val="0"/>
        <w:spacing w:before="0" w:after="120" w:line="276" w:lineRule="auto"/>
      </w:pPr>
      <w:r>
        <w:rPr>
          <w:rFonts w:ascii="Arial" w:hAnsi="Arial" w:cs="Arial" w:eastAsia="Arial"/>
          <w:b w:val="0"/>
          <w:i w:val="0"/>
          <w:sz w:val="21"/>
        </w:rPr>
        <w:t xml:space="preserve">Compliance with this standard is reviewed </w:t>
      </w:r>
      <w:sdt>
        <w:sdtPr>
          <w:alias w:val="every year"/>
          <w:tag w:val="19.compliance"/>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by configuration scanning and sampling, and the results are reported to the CISO.</w:t>
      </w:r>
    </w:p>
    <w:p>
      <w:pPr>
        <w:keepNext/>
        <w:spacing w:before="280" w:after="120" w:line="264" w:lineRule="auto"/>
      </w:pPr>
      <w:r>
        <w:rPr>
          <w:rFonts w:ascii="Arial" w:hAnsi="Arial" w:cs="Arial" w:eastAsia="Arial"/>
          <w:b/>
          <w:i w:val="0"/>
          <w:color w:val="1B253B"/>
          <w:sz w:val="28"/>
        </w:rPr>
        <w:t>11.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9.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Devices matching the approved baseline</w:t>
            </w:r>
          </w:p>
        </w:tc>
        <w:tc>
          <w:tcPr>
            <w:tcW w:type="dxa" w:w="2592"/>
          </w:tcPr>
          <w:p>
            <w:pPr>
              <w:keepNext w:val="0"/>
              <w:spacing w:before="40" w:after="40" w:line="240" w:lineRule="auto"/>
            </w:pPr>
            <w:sdt>
              <w:sdtPr>
                <w:alias w:val="95%"/>
                <w:tag w:val="19.t3.r0.c1"/>
              </w:sdtPr>
              <w:sdtContent>
                <w:r>
                  <w:rPr>
                    <w:rFonts w:ascii="Arial" w:hAnsi="Arial" w:cs="Arial" w:eastAsia="Arial"/>
                    <w:b w:val="0"/>
                    <w:i w:val="0"/>
                    <w:sz w:val="18"/>
                    <w:highlight w:val="yellow"/>
                  </w:rPr>
                  <w:t>&lt;95%&gt;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DDoS scrubbing tests per year</w:t>
            </w:r>
          </w:p>
        </w:tc>
        <w:tc>
          <w:tcPr>
            <w:tcW w:type="dxa" w:w="2592"/>
          </w:tcPr>
          <w:p>
            <w:pPr>
              <w:keepNext w:val="0"/>
              <w:spacing w:before="40" w:after="40" w:line="240" w:lineRule="auto"/>
            </w:pPr>
            <w:r>
              <w:rPr>
                <w:rFonts w:ascii="Arial" w:hAnsi="Arial" w:cs="Arial" w:eastAsia="Arial"/>
                <w:b w:val="0"/>
                <w:i w:val="0"/>
                <w:sz w:val="18"/>
              </w:rPr>
              <w:t>At least 2</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12.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13.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14.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3.3.8.1</w:t>
            </w:r>
          </w:p>
        </w:tc>
        <w:tc>
          <w:tcPr>
            <w:tcW w:type="dxa" w:w="7920"/>
          </w:tcPr>
          <w:p>
            <w:pPr>
              <w:keepNext w:val="0"/>
              <w:spacing w:before="40" w:after="40" w:line="240" w:lineRule="auto"/>
            </w:pPr>
            <w:r>
              <w:rPr>
                <w:rFonts w:ascii="Arial" w:hAnsi="Arial" w:cs="Arial" w:eastAsia="Arial"/>
                <w:b w:val="0"/>
                <w:i w:val="0"/>
                <w:sz w:val="18"/>
              </w:rPr>
              <w:t>Standard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3.3.8.2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3.3.8.3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3.3.8.4</w:t>
            </w:r>
          </w:p>
        </w:tc>
        <w:tc>
          <w:tcPr>
            <w:tcW w:type="dxa" w:w="7920"/>
          </w:tcPr>
          <w:p>
            <w:pPr>
              <w:keepNext w:val="0"/>
              <w:spacing w:before="40" w:after="40" w:line="240" w:lineRule="auto"/>
            </w:pPr>
            <w:r>
              <w:rPr>
                <w:rFonts w:ascii="Arial" w:hAnsi="Arial" w:cs="Arial" w:eastAsia="Arial"/>
                <w:b w:val="0"/>
                <w:i w:val="0"/>
                <w:sz w:val="18"/>
              </w:rPr>
              <w:t>Covers data centres, disaster recovery sites and offices</w:t>
            </w:r>
          </w:p>
        </w:tc>
      </w:tr>
      <w:tr>
        <w:trPr>
          <w:cantSplit w:val="true"/>
        </w:trPr>
        <w:tc>
          <w:tcPr>
            <w:tcW w:type="dxa" w:w="1296"/>
          </w:tcPr>
          <w:p>
            <w:pPr>
              <w:keepNext w:val="0"/>
              <w:spacing w:before="40" w:after="40" w:line="240" w:lineRule="auto"/>
            </w:pPr>
            <w:r>
              <w:rPr>
                <w:rFonts w:ascii="Arial" w:hAnsi="Arial" w:cs="Arial" w:eastAsia="Arial"/>
                <w:b w:val="0"/>
                <w:i w:val="0"/>
                <w:sz w:val="18"/>
              </w:rPr>
              <w:t>3.3.8.5</w:t>
            </w:r>
          </w:p>
        </w:tc>
        <w:tc>
          <w:tcPr>
            <w:tcW w:type="dxa" w:w="7920"/>
          </w:tcPr>
          <w:p>
            <w:pPr>
              <w:keepNext w:val="0"/>
              <w:spacing w:before="40" w:after="40" w:line="240" w:lineRule="auto"/>
            </w:pPr>
            <w:r>
              <w:rPr>
                <w:rFonts w:ascii="Arial" w:hAnsi="Arial" w:cs="Arial" w:eastAsia="Arial"/>
                <w:b w:val="0"/>
                <w:i w:val="0"/>
                <w:sz w:val="18"/>
              </w:rPr>
              <w:t>Covers every type of infrastructure</w:t>
            </w:r>
          </w:p>
        </w:tc>
      </w:tr>
      <w:tr>
        <w:trPr>
          <w:cantSplit w:val="true"/>
        </w:trPr>
        <w:tc>
          <w:tcPr>
            <w:tcW w:type="dxa" w:w="1296"/>
          </w:tcPr>
          <w:p>
            <w:pPr>
              <w:keepNext w:val="0"/>
              <w:spacing w:before="40" w:after="40" w:line="240" w:lineRule="auto"/>
            </w:pPr>
            <w:r>
              <w:rPr>
                <w:rFonts w:ascii="Arial" w:hAnsi="Arial" w:cs="Arial" w:eastAsia="Arial"/>
                <w:b w:val="0"/>
                <w:i w:val="0"/>
                <w:sz w:val="18"/>
              </w:rPr>
              <w:t>3.3.8.6</w:t>
            </w:r>
          </w:p>
        </w:tc>
        <w:tc>
          <w:tcPr>
            <w:tcW w:type="dxa" w:w="7920"/>
          </w:tcPr>
          <w:p>
            <w:pPr>
              <w:keepNext w:val="0"/>
              <w:spacing w:before="40" w:after="40" w:line="240" w:lineRule="auto"/>
            </w:pPr>
            <w:r>
              <w:rPr>
                <w:rFonts w:ascii="Arial" w:hAnsi="Arial" w:cs="Arial" w:eastAsia="Arial"/>
                <w:b w:val="0"/>
                <w:i w:val="0"/>
                <w:sz w:val="18"/>
              </w:rPr>
              <w:t>Controls, segregation, data, approved software, segmentation, malware, patching, DDoS, backup, compliance reviews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Infrastructure Security Standard</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Security Standard</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