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Payment Systems Security Standard</w:t>
      </w:r>
    </w:p>
    <w:p>
      <w:pPr>
        <w:keepNext w:val="0"/>
        <w:spacing w:before="0" w:after="200" w:line="240" w:lineRule="auto"/>
      </w:pPr>
      <w:r>
        <w:rPr>
          <w:rFonts w:ascii="Arial" w:hAnsi="Arial" w:cs="Arial" w:eastAsia="Arial"/>
          <w:b w:val="0"/>
          <w:i w:val="0"/>
          <w:color w:val="5B6678"/>
          <w:sz w:val="21"/>
        </w:rPr>
        <w:t>Security rules for the shared payment systems (SARIE and Mada). For banks and payment participants.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SAMA-23</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val="0"/>
        <w:spacing w:before="0" w:after="120" w:line="276" w:lineRule="auto"/>
      </w:pPr>
      <w:r>
        <w:rPr>
          <w:rFonts w:ascii="Arial" w:hAnsi="Arial" w:cs="Arial" w:eastAsia="Arial"/>
          <w:b w:val="0"/>
          <w:i/>
          <w:color w:val="5B6678"/>
          <w:sz w:val="19"/>
        </w:rPr>
        <w:t>Guidance: This document applies to banks and to other member organisations that take part in the national payment systems. If it does not apply to you, delete it and say so in the document register.</w:t>
      </w: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protects the confidentiality and integrity of the shared banking payment systems that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uses, so that payments are safe and the systems everyone depends on are not put at risk through this organisation.</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The organisation's connections to, and use of, the Saudi Arabian Riyal Interbank Express (SARIE) and the Mada payment network, and the systems, people and suppliers involved.</w:t>
      </w:r>
    </w:p>
    <w:p>
      <w:pPr>
        <w:keepNext/>
        <w:spacing w:before="280" w:after="120" w:line="264" w:lineRule="auto"/>
      </w:pPr>
      <w:r>
        <w:rPr>
          <w:rFonts w:ascii="Arial" w:hAnsi="Arial" w:cs="Arial" w:eastAsia="Arial"/>
          <w:b/>
          <w:i w:val="0"/>
          <w:color w:val="1B253B"/>
          <w:sz w:val="28"/>
        </w:rPr>
        <w:t>3. What this standard requires</w:t>
      </w:r>
    </w:p>
    <w:p>
      <w:pPr>
        <w:pStyle w:val="ListBullet"/>
        <w:keepNext w:val="0"/>
        <w:spacing w:before="0" w:after="60" w:line="276" w:lineRule="auto"/>
        <w:ind w:left="432" w:hanging="288"/>
      </w:pPr>
      <w:r>
        <w:rPr>
          <w:rFonts w:ascii="Arial" w:hAnsi="Arial" w:cs="Arial" w:eastAsia="Arial"/>
          <w:b w:val="0"/>
          <w:i w:val="0"/>
          <w:sz w:val="21"/>
        </w:rPr>
        <w:t xml:space="preserve">The organisation follows the </w:t>
      </w:r>
      <w:r>
        <w:rPr>
          <w:rFonts w:ascii="Arial" w:hAnsi="Arial" w:cs="Arial" w:eastAsia="Arial"/>
          <w:b/>
          <w:i w:val="0"/>
          <w:sz w:val="21"/>
        </w:rPr>
        <w:t>SARIE Information Security Policy</w:t>
      </w:r>
      <w:r>
        <w:rPr>
          <w:rFonts w:ascii="Arial" w:hAnsi="Arial" w:cs="Arial" w:eastAsia="Arial"/>
          <w:b w:val="0"/>
          <w:i w:val="0"/>
          <w:sz w:val="21"/>
        </w:rPr>
        <w:t xml:space="preserve"> for its connection to SARIE.</w:t>
      </w:r>
    </w:p>
    <w:p>
      <w:pPr>
        <w:pStyle w:val="ListBullet"/>
        <w:keepNext w:val="0"/>
        <w:spacing w:before="0" w:after="60" w:line="276" w:lineRule="auto"/>
        <w:ind w:left="432" w:hanging="288"/>
      </w:pPr>
      <w:r>
        <w:rPr>
          <w:rFonts w:ascii="Arial" w:hAnsi="Arial" w:cs="Arial" w:eastAsia="Arial"/>
          <w:b w:val="0"/>
          <w:i w:val="0"/>
          <w:sz w:val="21"/>
        </w:rPr>
        <w:t xml:space="preserve">The organisation follows the </w:t>
      </w:r>
      <w:r>
        <w:rPr>
          <w:rFonts w:ascii="Arial" w:hAnsi="Arial" w:cs="Arial" w:eastAsia="Arial"/>
          <w:b/>
          <w:i w:val="0"/>
          <w:sz w:val="21"/>
        </w:rPr>
        <w:t>Mada Rules and Standards Technical Book</w:t>
      </w:r>
      <w:r>
        <w:rPr>
          <w:rFonts w:ascii="Arial" w:hAnsi="Arial" w:cs="Arial" w:eastAsia="Arial"/>
          <w:b w:val="0"/>
          <w:i w:val="0"/>
          <w:sz w:val="21"/>
        </w:rPr>
        <w:t>: the security framework (Part IIIa), the hardware security module (HSM) requirements (Part IIIb), and the SAMA CA IPK certificate procedures.</w:t>
      </w:r>
    </w:p>
    <w:p>
      <w:pPr>
        <w:pStyle w:val="ListBullet"/>
        <w:keepNext w:val="0"/>
        <w:spacing w:before="0" w:after="60" w:line="276" w:lineRule="auto"/>
        <w:ind w:left="432" w:hanging="288"/>
      </w:pPr>
      <w:r>
        <w:rPr>
          <w:rFonts w:ascii="Arial" w:hAnsi="Arial" w:cs="Arial" w:eastAsia="Arial"/>
          <w:b w:val="0"/>
          <w:i w:val="0"/>
          <w:sz w:val="21"/>
        </w:rPr>
        <w:t>The versions in force are tracked in the register below, and the organisation works to the current ones.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Payment systems register</w:t>
      </w:r>
    </w:p>
    <w:tbl>
      <w:tblPr>
        <w:tblStyle w:val="TableGrid"/>
        <w:tblW w:type="auto" w:w="0"/>
        <w:jc w:val="center"/>
        <w:tblLayout w:type="fixed"/>
        <w:tblLook w:firstColumn="1" w:firstRow="1" w:lastColumn="0" w:lastRow="0" w:noHBand="0" w:noVBand="1" w:val="04A0"/>
      </w:tblPr>
      <w:tblGrid>
        <w:gridCol w:w="1529"/>
        <w:gridCol w:w="1529"/>
        <w:gridCol w:w="1529"/>
        <w:gridCol w:w="1529"/>
        <w:gridCol w:w="1529"/>
        <w:gridCol w:w="1529"/>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System</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What it does</w:t>
            </w:r>
          </w:p>
        </w:tc>
        <w:tc>
          <w:tcPr>
            <w:tcW w:type="dxa" w:w="2160"/>
            <w:shd w:val="clear" w:color="auto" w:fill="DCE6F5"/>
          </w:tcPr>
          <w:p>
            <w:pPr>
              <w:keepNext w:val="0"/>
              <w:spacing w:before="40" w:after="40" w:line="240" w:lineRule="auto"/>
            </w:pPr>
            <w:r>
              <w:rPr>
                <w:rFonts w:ascii="Arial" w:hAnsi="Arial" w:cs="Arial" w:eastAsia="Arial"/>
                <w:b/>
                <w:i w:val="0"/>
                <w:color w:val="1B253B"/>
                <w:sz w:val="18"/>
              </w:rPr>
              <w:t>Standard followed</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Last compliance check</w:t>
            </w:r>
          </w:p>
        </w:tc>
      </w:tr>
      <w:tr>
        <w:trPr>
          <w:cantSplit w:val="true"/>
        </w:trPr>
        <w:tc>
          <w:tcPr>
            <w:tcW w:type="dxa" w:w="1296"/>
          </w:tcPr>
          <w:p>
            <w:pPr>
              <w:keepNext w:val="0"/>
              <w:spacing w:before="40" w:after="40" w:line="240" w:lineRule="auto"/>
            </w:pPr>
            <w:r>
              <w:rPr>
                <w:rFonts w:ascii="Arial" w:hAnsi="Arial" w:cs="Arial" w:eastAsia="Arial"/>
                <w:b w:val="0"/>
                <w:i w:val="0"/>
                <w:sz w:val="18"/>
              </w:rPr>
              <w:t>SARIE</w:t>
            </w:r>
          </w:p>
        </w:tc>
        <w:tc>
          <w:tcPr>
            <w:tcW w:type="dxa" w:w="1152"/>
          </w:tcPr>
          <w:p>
            <w:pPr>
              <w:keepNext w:val="0"/>
              <w:spacing w:before="40" w:after="40" w:line="240" w:lineRule="auto"/>
            </w:pPr>
            <w:sdt>
              <w:sdtPr>
                <w:alias w:val="Owner"/>
                <w:tag w:val="23.t3.r0.c1"/>
              </w:sdtPr>
              <w:sdtContent>
                <w:r>
                  <w:rPr>
                    <w:rFonts w:ascii="Arial" w:hAnsi="Arial" w:cs="Arial" w:eastAsia="Arial"/>
                    <w:b w:val="0"/>
                    <w:i w:val="0"/>
                    <w:sz w:val="18"/>
                    <w:highlight w:val="yellow"/>
                  </w:rPr>
                  <w:t>&lt;Owner&gt;</w:t>
                </w:r>
              </w:sdtContent>
            </w:sdt>
          </w:p>
        </w:tc>
        <w:tc>
          <w:tcPr>
            <w:tcW w:type="dxa" w:w="1872"/>
          </w:tcPr>
          <w:p>
            <w:pPr>
              <w:keepNext w:val="0"/>
              <w:spacing w:before="40" w:after="40" w:line="240" w:lineRule="auto"/>
            </w:pPr>
            <w:sdt>
              <w:sdtPr>
                <w:alias w:val="What it does"/>
                <w:tag w:val="23.t3.r0.c2"/>
              </w:sdtPr>
              <w:sdtContent>
                <w:r>
                  <w:rPr>
                    <w:rFonts w:ascii="Arial" w:hAnsi="Arial" w:cs="Arial" w:eastAsia="Arial"/>
                    <w:b w:val="0"/>
                    <w:i w:val="0"/>
                    <w:sz w:val="18"/>
                    <w:highlight w:val="yellow"/>
                  </w:rPr>
                  <w:t>&lt;What it does&gt;</w:t>
                </w:r>
              </w:sdtContent>
            </w:sdt>
          </w:p>
        </w:tc>
        <w:tc>
          <w:tcPr>
            <w:tcW w:type="dxa" w:w="2160"/>
          </w:tcPr>
          <w:p>
            <w:pPr>
              <w:keepNext w:val="0"/>
              <w:spacing w:before="40" w:after="40" w:line="240" w:lineRule="auto"/>
            </w:pPr>
            <w:r>
              <w:rPr>
                <w:rFonts w:ascii="Arial" w:hAnsi="Arial" w:cs="Arial" w:eastAsia="Arial"/>
                <w:b w:val="0"/>
                <w:i w:val="0"/>
                <w:sz w:val="18"/>
              </w:rPr>
              <w:t>SARIE Information Security Policy</w:t>
            </w:r>
          </w:p>
        </w:tc>
        <w:tc>
          <w:tcPr>
            <w:tcW w:type="dxa" w:w="1008"/>
          </w:tcPr>
          <w:p>
            <w:pPr>
              <w:keepNext w:val="0"/>
              <w:spacing w:before="40" w:after="40" w:line="240" w:lineRule="auto"/>
            </w:pPr>
            <w:sdt>
              <w:sdtPr>
                <w:alias w:val="Version"/>
                <w:tag w:val="23.t3.r0.c4"/>
              </w:sdtPr>
              <w:sdtContent>
                <w:r>
                  <w:rPr>
                    <w:rFonts w:ascii="Arial" w:hAnsi="Arial" w:cs="Arial" w:eastAsia="Arial"/>
                    <w:b w:val="0"/>
                    <w:i w:val="0"/>
                    <w:sz w:val="18"/>
                    <w:highlight w:val="yellow"/>
                  </w:rPr>
                  <w:t>&lt;Version&gt;</w:t>
                </w:r>
              </w:sdtContent>
            </w:sdt>
          </w:p>
        </w:tc>
        <w:tc>
          <w:tcPr>
            <w:tcW w:type="dxa" w:w="1728"/>
          </w:tcPr>
          <w:p>
            <w:pPr>
              <w:keepNext w:val="0"/>
              <w:spacing w:before="40" w:after="40" w:line="240" w:lineRule="auto"/>
            </w:pPr>
            <w:sdt>
              <w:sdtPr>
                <w:alias w:val="Date"/>
                <w:tag w:val="23.t3.r0.c5"/>
              </w:sdtPr>
              <w:sdtContent>
                <w:r>
                  <w:rPr>
                    <w:rFonts w:ascii="Arial" w:hAnsi="Arial" w:cs="Arial" w:eastAsia="Arial"/>
                    <w:b w:val="0"/>
                    <w:i w:val="0"/>
                    <w:sz w:val="18"/>
                    <w:highlight w:val="yellow"/>
                  </w:rPr>
                  <w:t>&lt;Date&gt;</w:t>
                </w:r>
              </w:sdtContent>
            </w:sdt>
          </w:p>
        </w:tc>
      </w:tr>
      <w:tr>
        <w:trPr>
          <w:cantSplit w:val="true"/>
        </w:trPr>
        <w:tc>
          <w:tcPr>
            <w:tcW w:type="dxa" w:w="1296"/>
          </w:tcPr>
          <w:p>
            <w:pPr>
              <w:keepNext w:val="0"/>
              <w:spacing w:before="40" w:after="40" w:line="240" w:lineRule="auto"/>
            </w:pPr>
            <w:r>
              <w:rPr>
                <w:rFonts w:ascii="Arial" w:hAnsi="Arial" w:cs="Arial" w:eastAsia="Arial"/>
                <w:b w:val="0"/>
                <w:i w:val="0"/>
                <w:sz w:val="18"/>
              </w:rPr>
              <w:t>Mada</w:t>
            </w:r>
          </w:p>
        </w:tc>
        <w:tc>
          <w:tcPr>
            <w:tcW w:type="dxa" w:w="1152"/>
          </w:tcPr>
          <w:p>
            <w:pPr>
              <w:keepNext w:val="0"/>
              <w:spacing w:before="40" w:after="40" w:line="240" w:lineRule="auto"/>
            </w:pPr>
            <w:sdt>
              <w:sdtPr>
                <w:alias w:val="Owner"/>
                <w:tag w:val="23.t3.r1.c1"/>
              </w:sdtPr>
              <w:sdtContent>
                <w:r>
                  <w:rPr>
                    <w:rFonts w:ascii="Arial" w:hAnsi="Arial" w:cs="Arial" w:eastAsia="Arial"/>
                    <w:b w:val="0"/>
                    <w:i w:val="0"/>
                    <w:sz w:val="18"/>
                    <w:highlight w:val="yellow"/>
                  </w:rPr>
                  <w:t>&lt;Owner&gt;</w:t>
                </w:r>
              </w:sdtContent>
            </w:sdt>
          </w:p>
        </w:tc>
        <w:tc>
          <w:tcPr>
            <w:tcW w:type="dxa" w:w="1872"/>
          </w:tcPr>
          <w:p>
            <w:pPr>
              <w:keepNext w:val="0"/>
              <w:spacing w:before="40" w:after="40" w:line="240" w:lineRule="auto"/>
            </w:pPr>
            <w:sdt>
              <w:sdtPr>
                <w:alias w:val="What it does"/>
                <w:tag w:val="23.t3.r1.c2"/>
              </w:sdtPr>
              <w:sdtContent>
                <w:r>
                  <w:rPr>
                    <w:rFonts w:ascii="Arial" w:hAnsi="Arial" w:cs="Arial" w:eastAsia="Arial"/>
                    <w:b w:val="0"/>
                    <w:i w:val="0"/>
                    <w:sz w:val="18"/>
                    <w:highlight w:val="yellow"/>
                  </w:rPr>
                  <w:t>&lt;What it does&gt;</w:t>
                </w:r>
              </w:sdtContent>
            </w:sdt>
          </w:p>
        </w:tc>
        <w:tc>
          <w:tcPr>
            <w:tcW w:type="dxa" w:w="2160"/>
          </w:tcPr>
          <w:p>
            <w:pPr>
              <w:keepNext w:val="0"/>
              <w:spacing w:before="40" w:after="40" w:line="240" w:lineRule="auto"/>
            </w:pPr>
            <w:r>
              <w:rPr>
                <w:rFonts w:ascii="Arial" w:hAnsi="Arial" w:cs="Arial" w:eastAsia="Arial"/>
                <w:b w:val="0"/>
                <w:i w:val="0"/>
                <w:sz w:val="18"/>
              </w:rPr>
              <w:t>Mada Rules and Standards Technical Book</w:t>
            </w:r>
          </w:p>
        </w:tc>
        <w:tc>
          <w:tcPr>
            <w:tcW w:type="dxa" w:w="1008"/>
          </w:tcPr>
          <w:p>
            <w:pPr>
              <w:keepNext w:val="0"/>
              <w:spacing w:before="40" w:after="40" w:line="240" w:lineRule="auto"/>
            </w:pPr>
            <w:sdt>
              <w:sdtPr>
                <w:alias w:val="Version"/>
                <w:tag w:val="23.t3.r1.c4"/>
              </w:sdtPr>
              <w:sdtContent>
                <w:r>
                  <w:rPr>
                    <w:rFonts w:ascii="Arial" w:hAnsi="Arial" w:cs="Arial" w:eastAsia="Arial"/>
                    <w:b w:val="0"/>
                    <w:i w:val="0"/>
                    <w:sz w:val="18"/>
                    <w:highlight w:val="yellow"/>
                  </w:rPr>
                  <w:t>&lt;Version&gt;</w:t>
                </w:r>
              </w:sdtContent>
            </w:sdt>
          </w:p>
        </w:tc>
        <w:tc>
          <w:tcPr>
            <w:tcW w:type="dxa" w:w="1728"/>
          </w:tcPr>
          <w:p>
            <w:pPr>
              <w:keepNext w:val="0"/>
              <w:spacing w:before="40" w:after="40" w:line="240" w:lineRule="auto"/>
            </w:pPr>
            <w:sdt>
              <w:sdtPr>
                <w:alias w:val="Date"/>
                <w:tag w:val="23.t3.r1.c5"/>
              </w:sdtPr>
              <w:sdtContent>
                <w:r>
                  <w:rPr>
                    <w:rFonts w:ascii="Arial" w:hAnsi="Arial" w:cs="Arial" w:eastAsia="Arial"/>
                    <w:b w:val="0"/>
                    <w:i w:val="0"/>
                    <w:sz w:val="18"/>
                    <w:highlight w:val="yellow"/>
                  </w:rPr>
                  <w:t>&lt;Date&gt;</w:t>
                </w:r>
              </w:sdtContent>
            </w:sdt>
          </w:p>
        </w:tc>
      </w:tr>
      <w:tr>
        <w:trPr>
          <w:cantSplit w:val="true"/>
        </w:trPr>
        <w:tc>
          <w:tcPr>
            <w:tcW w:type="dxa" w:w="1296"/>
          </w:tcPr>
          <w:p>
            <w:pPr>
              <w:keepNext w:val="0"/>
              <w:spacing w:before="40" w:after="40" w:line="240" w:lineRule="auto"/>
            </w:pPr>
            <w:sdt>
              <w:sdtPr>
                <w:alias w:val="Another system"/>
                <w:tag w:val="23.t3.r2.c0"/>
              </w:sdtPr>
              <w:sdtContent>
                <w:r>
                  <w:rPr>
                    <w:rFonts w:ascii="Arial" w:hAnsi="Arial" w:cs="Arial" w:eastAsia="Arial"/>
                    <w:b w:val="0"/>
                    <w:i w:val="0"/>
                    <w:sz w:val="18"/>
                    <w:highlight w:val="yellow"/>
                  </w:rPr>
                  <w:t>&lt;Another system&gt;</w:t>
                </w:r>
              </w:sdtContent>
            </w:sdt>
          </w:p>
        </w:tc>
        <w:tc>
          <w:tcPr>
            <w:tcW w:type="dxa" w:w="1152"/>
          </w:tcPr>
          <w:p>
            <w:pPr>
              <w:keepNext w:val="0"/>
              <w:spacing w:before="40" w:after="40" w:line="240" w:lineRule="auto"/>
            </w:pPr>
            <w:sdt>
              <w:sdtPr>
                <w:alias w:val="Owner"/>
                <w:tag w:val="23.t3.r2.c1"/>
              </w:sdtPr>
              <w:sdtContent>
                <w:r>
                  <w:rPr>
                    <w:rFonts w:ascii="Arial" w:hAnsi="Arial" w:cs="Arial" w:eastAsia="Arial"/>
                    <w:b w:val="0"/>
                    <w:i w:val="0"/>
                    <w:sz w:val="18"/>
                    <w:highlight w:val="yellow"/>
                  </w:rPr>
                  <w:t>&lt;Owner&gt;</w:t>
                </w:r>
              </w:sdtContent>
            </w:sdt>
          </w:p>
        </w:tc>
        <w:tc>
          <w:tcPr>
            <w:tcW w:type="dxa" w:w="1872"/>
          </w:tcPr>
          <w:p>
            <w:pPr>
              <w:keepNext w:val="0"/>
              <w:spacing w:before="40" w:after="40" w:line="240" w:lineRule="auto"/>
            </w:pPr>
            <w:sdt>
              <w:sdtPr>
                <w:alias w:val="What it does"/>
                <w:tag w:val="23.t3.r2.c2"/>
              </w:sdtPr>
              <w:sdtContent>
                <w:r>
                  <w:rPr>
                    <w:rFonts w:ascii="Arial" w:hAnsi="Arial" w:cs="Arial" w:eastAsia="Arial"/>
                    <w:b w:val="0"/>
                    <w:i w:val="0"/>
                    <w:sz w:val="18"/>
                    <w:highlight w:val="yellow"/>
                  </w:rPr>
                  <w:t>&lt;What it does&gt;</w:t>
                </w:r>
              </w:sdtContent>
            </w:sdt>
          </w:p>
        </w:tc>
        <w:tc>
          <w:tcPr>
            <w:tcW w:type="dxa" w:w="2160"/>
          </w:tcPr>
          <w:p>
            <w:pPr>
              <w:keepNext w:val="0"/>
              <w:spacing w:before="40" w:after="40" w:line="240" w:lineRule="auto"/>
            </w:pPr>
            <w:sdt>
              <w:sdtPr>
                <w:alias w:val="Standard"/>
                <w:tag w:val="23.t3.r2.c3"/>
              </w:sdtPr>
              <w:sdtContent>
                <w:r>
                  <w:rPr>
                    <w:rFonts w:ascii="Arial" w:hAnsi="Arial" w:cs="Arial" w:eastAsia="Arial"/>
                    <w:b w:val="0"/>
                    <w:i w:val="0"/>
                    <w:sz w:val="18"/>
                    <w:highlight w:val="yellow"/>
                  </w:rPr>
                  <w:t>&lt;Standard&gt;</w:t>
                </w:r>
              </w:sdtContent>
            </w:sdt>
          </w:p>
        </w:tc>
        <w:tc>
          <w:tcPr>
            <w:tcW w:type="dxa" w:w="1008"/>
          </w:tcPr>
          <w:p>
            <w:pPr>
              <w:keepNext w:val="0"/>
              <w:spacing w:before="40" w:after="40" w:line="240" w:lineRule="auto"/>
            </w:pPr>
            <w:sdt>
              <w:sdtPr>
                <w:alias w:val="Version"/>
                <w:tag w:val="23.t3.r2.c4"/>
              </w:sdtPr>
              <w:sdtContent>
                <w:r>
                  <w:rPr>
                    <w:rFonts w:ascii="Arial" w:hAnsi="Arial" w:cs="Arial" w:eastAsia="Arial"/>
                    <w:b w:val="0"/>
                    <w:i w:val="0"/>
                    <w:sz w:val="18"/>
                    <w:highlight w:val="yellow"/>
                  </w:rPr>
                  <w:t>&lt;Version&gt;</w:t>
                </w:r>
              </w:sdtContent>
            </w:sdt>
          </w:p>
        </w:tc>
        <w:tc>
          <w:tcPr>
            <w:tcW w:type="dxa" w:w="1728"/>
          </w:tcPr>
          <w:p>
            <w:pPr>
              <w:keepNext w:val="0"/>
              <w:spacing w:before="40" w:after="40" w:line="240" w:lineRule="auto"/>
            </w:pPr>
            <w:sdt>
              <w:sdtPr>
                <w:alias w:val="Date"/>
                <w:tag w:val="23.t3.r2.c5"/>
              </w:sdtPr>
              <w:sdtContent>
                <w:r>
                  <w:rPr>
                    <w:rFonts w:ascii="Arial" w:hAnsi="Arial" w:cs="Arial" w:eastAsia="Arial"/>
                    <w:b w:val="0"/>
                    <w:i w:val="0"/>
                    <w:sz w:val="18"/>
                    <w:highlight w:val="yellow"/>
                  </w:rPr>
                  <w:t>&lt;Date&gt;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Controls the organisation applies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016"/>
            <w:shd w:val="clear" w:color="auto" w:fill="DCE6F5"/>
          </w:tcPr>
          <w:p>
            <w:pPr>
              <w:keepNext w:val="0"/>
              <w:spacing w:before="40" w:after="40" w:line="240" w:lineRule="auto"/>
            </w:pPr>
            <w:r>
              <w:rPr>
                <w:rFonts w:ascii="Arial" w:hAnsi="Arial" w:cs="Arial" w:eastAsia="Arial"/>
                <w:b/>
                <w:i w:val="0"/>
                <w:color w:val="1B253B"/>
                <w:sz w:val="18"/>
              </w:rPr>
              <w:t>Area</w:t>
            </w:r>
          </w:p>
        </w:tc>
        <w:tc>
          <w:tcPr>
            <w:tcW w:type="dxa" w:w="7200"/>
            <w:shd w:val="clear" w:color="auto" w:fill="DCE6F5"/>
          </w:tcPr>
          <w:p>
            <w:pPr>
              <w:keepNext w:val="0"/>
              <w:spacing w:before="40" w:after="40" w:line="240" w:lineRule="auto"/>
            </w:pPr>
            <w:r>
              <w:rPr>
                <w:rFonts w:ascii="Arial" w:hAnsi="Arial" w:cs="Arial" w:eastAsia="Arial"/>
                <w:b/>
                <w:i w:val="0"/>
                <w:color w:val="1B253B"/>
                <w:sz w:val="18"/>
              </w:rPr>
              <w:t>What is done</w:t>
            </w:r>
          </w:p>
        </w:tc>
      </w:tr>
      <w:tr>
        <w:trPr>
          <w:cantSplit w:val="true"/>
        </w:trPr>
        <w:tc>
          <w:tcPr>
            <w:tcW w:type="dxa" w:w="2016"/>
          </w:tcPr>
          <w:p>
            <w:pPr>
              <w:keepNext w:val="0"/>
              <w:spacing w:before="40" w:after="40" w:line="240" w:lineRule="auto"/>
            </w:pPr>
            <w:r>
              <w:rPr>
                <w:rFonts w:ascii="Arial" w:hAnsi="Arial" w:cs="Arial" w:eastAsia="Arial"/>
                <w:b w:val="0"/>
                <w:i w:val="0"/>
                <w:sz w:val="18"/>
              </w:rPr>
              <w:t>Access</w:t>
            </w:r>
          </w:p>
        </w:tc>
        <w:tc>
          <w:tcPr>
            <w:tcW w:type="dxa" w:w="7200"/>
          </w:tcPr>
          <w:p>
            <w:pPr>
              <w:keepNext w:val="0"/>
              <w:spacing w:before="40" w:after="40" w:line="240" w:lineRule="auto"/>
            </w:pPr>
            <w:r>
              <w:rPr>
                <w:rFonts w:ascii="Arial" w:hAnsi="Arial" w:cs="Arial" w:eastAsia="Arial"/>
                <w:b w:val="0"/>
                <w:i w:val="0"/>
                <w:sz w:val="18"/>
              </w:rPr>
              <w:t xml:space="preserve">Access to payment systems is limited to named people, with multi-factor authentication, and reviewed </w:t>
            </w:r>
            <w:sdt>
              <w:sdtPr>
                <w:alias w:val="every quarter"/>
                <w:tag w:val="23.access_rev"/>
              </w:sdtPr>
              <w:sdtContent>
                <w:r>
                  <w:rPr>
                    <w:rFonts w:ascii="Arial" w:hAnsi="Arial" w:cs="Arial" w:eastAsia="Arial"/>
                    <w:b w:val="0"/>
                    <w:i w:val="0"/>
                    <w:sz w:val="18"/>
                    <w:highlight w:val="yellow"/>
                  </w:rPr>
                  <w:t>&lt;every quarter&gt;</w:t>
                </w:r>
              </w:sdtContent>
            </w:sdt>
            <w:r>
              <w:rPr>
                <w:rFonts w:ascii="Arial" w:hAnsi="Arial" w:cs="Arial" w:eastAsia="Arial"/>
                <w:b w:val="0"/>
                <w:i w:val="0"/>
                <w:sz w:val="18"/>
              </w:rPr>
              <w:t xml:space="preserve"> (SAMA-16).</w:t>
            </w:r>
          </w:p>
        </w:tc>
      </w:tr>
      <w:tr>
        <w:trPr>
          <w:cantSplit w:val="true"/>
        </w:trPr>
        <w:tc>
          <w:tcPr>
            <w:tcW w:type="dxa" w:w="2016"/>
          </w:tcPr>
          <w:p>
            <w:pPr>
              <w:keepNext w:val="0"/>
              <w:spacing w:before="40" w:after="40" w:line="240" w:lineRule="auto"/>
            </w:pPr>
            <w:r>
              <w:rPr>
                <w:rFonts w:ascii="Arial" w:hAnsi="Arial" w:cs="Arial" w:eastAsia="Arial"/>
                <w:b w:val="0"/>
                <w:i w:val="0"/>
                <w:sz w:val="18"/>
              </w:rPr>
              <w:t>Keys and HSMs</w:t>
            </w:r>
          </w:p>
        </w:tc>
        <w:tc>
          <w:tcPr>
            <w:tcW w:type="dxa" w:w="7200"/>
          </w:tcPr>
          <w:p>
            <w:pPr>
              <w:keepNext w:val="0"/>
              <w:spacing w:before="40" w:after="40" w:line="240" w:lineRule="auto"/>
            </w:pPr>
            <w:r>
              <w:rPr>
                <w:rFonts w:ascii="Arial" w:hAnsi="Arial" w:cs="Arial" w:eastAsia="Arial"/>
                <w:b w:val="0"/>
                <w:i w:val="0"/>
                <w:sz w:val="18"/>
              </w:rPr>
              <w:t>Keys are generated, stored and managed in HSMs that meet the Mada HSM requirements. Certificate procedures are followed exactly.</w:t>
            </w:r>
          </w:p>
        </w:tc>
      </w:tr>
      <w:tr>
        <w:trPr>
          <w:cantSplit w:val="true"/>
        </w:trPr>
        <w:tc>
          <w:tcPr>
            <w:tcW w:type="dxa" w:w="2016"/>
          </w:tcPr>
          <w:p>
            <w:pPr>
              <w:keepNext w:val="0"/>
              <w:spacing w:before="40" w:after="40" w:line="240" w:lineRule="auto"/>
            </w:pPr>
            <w:r>
              <w:rPr>
                <w:rFonts w:ascii="Arial" w:hAnsi="Arial" w:cs="Arial" w:eastAsia="Arial"/>
                <w:b w:val="0"/>
                <w:i w:val="0"/>
                <w:sz w:val="18"/>
              </w:rPr>
              <w:t>Network</w:t>
            </w:r>
          </w:p>
        </w:tc>
        <w:tc>
          <w:tcPr>
            <w:tcW w:type="dxa" w:w="7200"/>
          </w:tcPr>
          <w:p>
            <w:pPr>
              <w:keepNext w:val="0"/>
              <w:spacing w:before="40" w:after="40" w:line="240" w:lineRule="auto"/>
            </w:pPr>
            <w:r>
              <w:rPr>
                <w:rFonts w:ascii="Arial" w:hAnsi="Arial" w:cs="Arial" w:eastAsia="Arial"/>
                <w:b w:val="0"/>
                <w:i w:val="0"/>
                <w:sz w:val="18"/>
              </w:rPr>
              <w:t>Payment systems are in their own segmented zone, with controlled and logged connections (SAMA-19).</w:t>
            </w:r>
          </w:p>
        </w:tc>
      </w:tr>
      <w:tr>
        <w:trPr>
          <w:cantSplit w:val="true"/>
        </w:trPr>
        <w:tc>
          <w:tcPr>
            <w:tcW w:type="dxa" w:w="2016"/>
          </w:tcPr>
          <w:p>
            <w:pPr>
              <w:keepNext w:val="0"/>
              <w:spacing w:before="40" w:after="40" w:line="240" w:lineRule="auto"/>
            </w:pPr>
            <w:r>
              <w:rPr>
                <w:rFonts w:ascii="Arial" w:hAnsi="Arial" w:cs="Arial" w:eastAsia="Arial"/>
                <w:b w:val="0"/>
                <w:i w:val="0"/>
                <w:sz w:val="18"/>
              </w:rPr>
              <w:t>Monitoring</w:t>
            </w:r>
          </w:p>
        </w:tc>
        <w:tc>
          <w:tcPr>
            <w:tcW w:type="dxa" w:w="7200"/>
          </w:tcPr>
          <w:p>
            <w:pPr>
              <w:keepNext w:val="0"/>
              <w:spacing w:before="40" w:after="40" w:line="240" w:lineRule="auto"/>
            </w:pPr>
            <w:r>
              <w:rPr>
                <w:rFonts w:ascii="Arial" w:hAnsi="Arial" w:cs="Arial" w:eastAsia="Arial"/>
                <w:b w:val="0"/>
                <w:i w:val="0"/>
                <w:sz w:val="18"/>
              </w:rPr>
              <w:t>Payment systems are in the scope of the SOC, with the events in the event monitoring standard (SAMA-25).</w:t>
            </w:r>
          </w:p>
        </w:tc>
      </w:tr>
      <w:tr>
        <w:trPr>
          <w:cantSplit w:val="true"/>
        </w:trPr>
        <w:tc>
          <w:tcPr>
            <w:tcW w:type="dxa" w:w="2016"/>
          </w:tcPr>
          <w:p>
            <w:pPr>
              <w:keepNext w:val="0"/>
              <w:spacing w:before="40" w:after="40" w:line="240" w:lineRule="auto"/>
            </w:pPr>
            <w:r>
              <w:rPr>
                <w:rFonts w:ascii="Arial" w:hAnsi="Arial" w:cs="Arial" w:eastAsia="Arial"/>
                <w:b w:val="0"/>
                <w:i w:val="0"/>
                <w:sz w:val="18"/>
              </w:rPr>
              <w:t>Change</w:t>
            </w:r>
          </w:p>
        </w:tc>
        <w:tc>
          <w:tcPr>
            <w:tcW w:type="dxa" w:w="7200"/>
          </w:tcPr>
          <w:p>
            <w:pPr>
              <w:keepNext w:val="0"/>
              <w:spacing w:before="40" w:after="40" w:line="240" w:lineRule="auto"/>
            </w:pPr>
            <w:r>
              <w:rPr>
                <w:rFonts w:ascii="Arial" w:hAnsi="Arial" w:cs="Arial" w:eastAsia="Arial"/>
                <w:b w:val="0"/>
                <w:i w:val="0"/>
                <w:sz w:val="18"/>
              </w:rPr>
              <w:t>Every change follows change management with extra review by the cyber security function (SAMA-18).</w:t>
            </w:r>
          </w:p>
        </w:tc>
      </w:tr>
      <w:tr>
        <w:trPr>
          <w:cantSplit w:val="true"/>
        </w:trPr>
        <w:tc>
          <w:tcPr>
            <w:tcW w:type="dxa" w:w="2016"/>
          </w:tcPr>
          <w:p>
            <w:pPr>
              <w:keepNext w:val="0"/>
              <w:spacing w:before="40" w:after="40" w:line="240" w:lineRule="auto"/>
            </w:pPr>
            <w:r>
              <w:rPr>
                <w:rFonts w:ascii="Arial" w:hAnsi="Arial" w:cs="Arial" w:eastAsia="Arial"/>
                <w:b w:val="0"/>
                <w:i w:val="0"/>
                <w:sz w:val="18"/>
              </w:rPr>
              <w:t>Incidents</w:t>
            </w:r>
          </w:p>
        </w:tc>
        <w:tc>
          <w:tcPr>
            <w:tcW w:type="dxa" w:w="7200"/>
          </w:tcPr>
          <w:p>
            <w:pPr>
              <w:keepNext w:val="0"/>
              <w:spacing w:before="40" w:after="40" w:line="240" w:lineRule="auto"/>
            </w:pPr>
            <w:r>
              <w:rPr>
                <w:rFonts w:ascii="Arial" w:hAnsi="Arial" w:cs="Arial" w:eastAsia="Arial"/>
                <w:b w:val="0"/>
                <w:i w:val="0"/>
                <w:sz w:val="18"/>
              </w:rPr>
              <w:t>Incidents are handled under SAMA-26, and reported to SAMA when medium or high.</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3.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Payment systems with a current compliance check</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Open findings on payment systems past their date</w:t>
            </w:r>
          </w:p>
        </w:tc>
        <w:tc>
          <w:tcPr>
            <w:tcW w:type="dxa" w:w="2592"/>
          </w:tcPr>
          <w:p>
            <w:pPr>
              <w:keepNext w:val="0"/>
              <w:spacing w:before="40" w:after="40" w:line="240" w:lineRule="auto"/>
            </w:pPr>
            <w:r>
              <w:rPr>
                <w:rFonts w:ascii="Arial" w:hAnsi="Arial" w:cs="Arial" w:eastAsia="Arial"/>
                <w:b w:val="0"/>
                <w:i w:val="0"/>
                <w:sz w:val="18"/>
              </w:rPr>
              <w:t>None</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8.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9.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3.3.12.1</w:t>
            </w:r>
          </w:p>
        </w:tc>
        <w:tc>
          <w:tcPr>
            <w:tcW w:type="dxa" w:w="7920"/>
          </w:tcPr>
          <w:p>
            <w:pPr>
              <w:keepNext w:val="0"/>
              <w:spacing w:before="40" w:after="40" w:line="240" w:lineRule="auto"/>
            </w:pPr>
            <w:r>
              <w:rPr>
                <w:rFonts w:ascii="Arial" w:hAnsi="Arial" w:cs="Arial" w:eastAsia="Arial"/>
                <w:b w:val="0"/>
                <w:i w:val="0"/>
                <w:sz w:val="18"/>
              </w:rPr>
              <w:t>A payment systems security standard defined, approved, implemented and monitored, with effectiveness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3.3.12.2</w:t>
            </w:r>
          </w:p>
        </w:tc>
        <w:tc>
          <w:tcPr>
            <w:tcW w:type="dxa" w:w="7920"/>
          </w:tcPr>
          <w:p>
            <w:pPr>
              <w:keepNext w:val="0"/>
              <w:spacing w:before="40" w:after="40" w:line="240" w:lineRule="auto"/>
            </w:pPr>
            <w:r>
              <w:rPr>
                <w:rFonts w:ascii="Arial" w:hAnsi="Arial" w:cs="Arial" w:eastAsia="Arial"/>
                <w:b w:val="0"/>
                <w:i w:val="0"/>
                <w:sz w:val="18"/>
              </w:rPr>
              <w:t>SARIE: the SARIE Information Security Policy</w:t>
            </w:r>
          </w:p>
        </w:tc>
      </w:tr>
      <w:tr>
        <w:trPr>
          <w:cantSplit w:val="true"/>
        </w:trPr>
        <w:tc>
          <w:tcPr>
            <w:tcW w:type="dxa" w:w="1296"/>
          </w:tcPr>
          <w:p>
            <w:pPr>
              <w:keepNext w:val="0"/>
              <w:spacing w:before="40" w:after="40" w:line="240" w:lineRule="auto"/>
            </w:pPr>
            <w:r>
              <w:rPr>
                <w:rFonts w:ascii="Arial" w:hAnsi="Arial" w:cs="Arial" w:eastAsia="Arial"/>
                <w:b w:val="0"/>
                <w:i w:val="0"/>
                <w:sz w:val="18"/>
              </w:rPr>
              <w:t>3.3.12.3</w:t>
            </w:r>
          </w:p>
        </w:tc>
        <w:tc>
          <w:tcPr>
            <w:tcW w:type="dxa" w:w="7920"/>
          </w:tcPr>
          <w:p>
            <w:pPr>
              <w:keepNext w:val="0"/>
              <w:spacing w:before="40" w:after="40" w:line="240" w:lineRule="auto"/>
            </w:pPr>
            <w:r>
              <w:rPr>
                <w:rFonts w:ascii="Arial" w:hAnsi="Arial" w:cs="Arial" w:eastAsia="Arial"/>
                <w:b w:val="0"/>
                <w:i w:val="0"/>
                <w:sz w:val="18"/>
              </w:rPr>
              <w:t>Mada: the security framework, HSM requirements and certificate procedures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Payment Systems Security Standard</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Systems Security Standard</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