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Electronic Banking Security Standard</w:t>
      </w:r>
    </w:p>
    <w:p>
      <w:pPr>
        <w:keepNext w:val="0"/>
        <w:spacing w:before="0" w:after="200" w:line="240" w:lineRule="auto"/>
      </w:pPr>
      <w:r>
        <w:rPr>
          <w:rFonts w:ascii="Arial" w:hAnsi="Arial" w:cs="Arial" w:eastAsia="Arial"/>
          <w:b w:val="0"/>
          <w:i w:val="0"/>
          <w:color w:val="5B6678"/>
          <w:sz w:val="21"/>
        </w:rPr>
        <w:t>Security rules for online, mobile and phone banking, ATMs and notifications. For banks.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SAMA-24</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val="0"/>
        <w:spacing w:before="0" w:after="120" w:line="276" w:lineRule="auto"/>
      </w:pPr>
      <w:r>
        <w:rPr>
          <w:rFonts w:ascii="Arial" w:hAnsi="Arial" w:cs="Arial" w:eastAsia="Arial"/>
          <w:b w:val="0"/>
          <w:i/>
          <w:color w:val="5B6678"/>
          <w:sz w:val="19"/>
        </w:rPr>
        <w:t>Guidance: This document applies to banks and to other organisations that offer electronic banking services. If it does not apply to you, delete it and say so in the document register.</w:t>
      </w: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protects customer information and transactions across the electronic banking services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Online, mobile and phone banking, ATMs and point-of-sale terminals, SMS notifications, and the brand protection of online services including social media.</w:t>
      </w:r>
    </w:p>
    <w:p>
      <w:pPr>
        <w:keepNext/>
        <w:spacing w:before="280" w:after="120" w:line="264" w:lineRule="auto"/>
      </w:pPr>
      <w:r>
        <w:rPr>
          <w:rFonts w:ascii="Arial" w:hAnsi="Arial" w:cs="Arial" w:eastAsia="Arial"/>
          <w:b/>
          <w:i w:val="0"/>
          <w:color w:val="1B253B"/>
          <w:sz w:val="28"/>
        </w:rPr>
        <w:t>3. Brand protection</w:t>
      </w:r>
    </w:p>
    <w:p>
      <w:pPr>
        <w:keepNext w:val="0"/>
        <w:spacing w:before="0" w:after="120" w:line="276" w:lineRule="auto"/>
      </w:pPr>
      <w:r>
        <w:rPr>
          <w:rFonts w:ascii="Arial" w:hAnsi="Arial" w:cs="Arial" w:eastAsia="Arial"/>
          <w:b w:val="0"/>
          <w:i w:val="0"/>
          <w:sz w:val="21"/>
        </w:rPr>
        <w:t>The organisation protects the brand of its online services, including on social media. It watches for fake accounts, sites and apps that use its name, and takes them down.</w:t>
      </w:r>
    </w:p>
    <w:p>
      <w:pPr>
        <w:keepNext/>
        <w:spacing w:before="280" w:after="120" w:line="264" w:lineRule="auto"/>
      </w:pPr>
      <w:r>
        <w:rPr>
          <w:rFonts w:ascii="Arial" w:hAnsi="Arial" w:cs="Arial" w:eastAsia="Arial"/>
          <w:b/>
          <w:i w:val="0"/>
          <w:color w:val="1B253B"/>
          <w:sz w:val="28"/>
        </w:rPr>
        <w:t>4. Online, mobile and phone banking</w:t>
      </w:r>
    </w:p>
    <w:p>
      <w:pPr>
        <w:keepNext/>
        <w:spacing w:before="160" w:after="80" w:line="264" w:lineRule="auto"/>
      </w:pPr>
      <w:r>
        <w:rPr>
          <w:rFonts w:ascii="Arial" w:hAnsi="Arial" w:cs="Arial" w:eastAsia="Arial"/>
          <w:b/>
          <w:i w:val="0"/>
          <w:color w:val="1B253B"/>
          <w:sz w:val="23"/>
        </w:rPr>
        <w:t>Official channels</w:t>
      </w:r>
    </w:p>
    <w:p>
      <w:pPr>
        <w:pStyle w:val="ListBullet"/>
        <w:keepNext w:val="0"/>
        <w:spacing w:before="0" w:after="60" w:line="276" w:lineRule="auto"/>
        <w:ind w:left="432" w:hanging="288"/>
      </w:pPr>
      <w:r>
        <w:rPr>
          <w:rFonts w:ascii="Arial" w:hAnsi="Arial" w:cs="Arial" w:eastAsia="Arial"/>
          <w:b w:val="0"/>
          <w:i w:val="0"/>
          <w:sz w:val="21"/>
        </w:rPr>
        <w:t>Apps are published only through official app stores, and websites only on the organisation's own domains.</w:t>
      </w:r>
    </w:p>
    <w:p>
      <w:pPr>
        <w:pStyle w:val="ListBullet"/>
        <w:keepNext w:val="0"/>
        <w:spacing w:before="0" w:after="60" w:line="276" w:lineRule="auto"/>
        <w:ind w:left="432" w:hanging="288"/>
      </w:pPr>
      <w:r>
        <w:rPr>
          <w:rFonts w:ascii="Arial" w:hAnsi="Arial" w:cs="Arial" w:eastAsia="Arial"/>
          <w:b w:val="0"/>
          <w:i w:val="0"/>
          <w:sz w:val="21"/>
        </w:rPr>
        <w:t xml:space="preserve">Malicious apps and sites that copy the organisation's are detected and taken down: </w:t>
      </w:r>
      <w:sdt>
        <w:sdtPr>
          <w:alias w:val="through a brand protection service"/>
          <w:tag w:val="24.takedown"/>
        </w:sdtPr>
        <w:sdtContent>
          <w:r>
            <w:rPr>
              <w:rFonts w:ascii="Arial" w:hAnsi="Arial" w:cs="Arial" w:eastAsia="Arial"/>
              <w:b w:val="0"/>
              <w:i w:val="0"/>
              <w:sz w:val="21"/>
              <w:highlight w:val="yellow"/>
            </w:rPr>
            <w:t>&lt;through a brand protection service&gt;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Mobile apps run in a sandbox, do not cache sensitive data, and resist man-in-the-middle attacks.</w:t>
      </w:r>
    </w:p>
    <w:p>
      <w:pPr>
        <w:keepNext w:val="0"/>
        <w:spacing w:before="0" w:after="40" w:line="240" w:lineRule="auto"/>
      </w:pPr>
    </w:p>
    <w:p>
      <w:pPr>
        <w:keepNext/>
        <w:spacing w:before="160" w:after="80" w:line="264" w:lineRule="auto"/>
      </w:pPr>
      <w:r>
        <w:rPr>
          <w:rFonts w:ascii="Arial" w:hAnsi="Arial" w:cs="Arial" w:eastAsia="Arial"/>
          <w:b/>
          <w:i w:val="0"/>
          <w:color w:val="1B253B"/>
          <w:sz w:val="23"/>
        </w:rPr>
        <w:t>Multi-factor authentication</w:t>
      </w:r>
    </w:p>
    <w:p>
      <w:pPr>
        <w:pStyle w:val="ListBullet"/>
        <w:keepNext w:val="0"/>
        <w:spacing w:before="0" w:after="60" w:line="276" w:lineRule="auto"/>
        <w:ind w:left="432" w:hanging="288"/>
      </w:pPr>
      <w:r>
        <w:rPr>
          <w:rFonts w:ascii="Arial" w:hAnsi="Arial" w:cs="Arial" w:eastAsia="Arial"/>
          <w:b w:val="0"/>
          <w:i w:val="0"/>
          <w:sz w:val="21"/>
        </w:rPr>
        <w:t xml:space="preserve">Required at customer registration and for </w:t>
      </w:r>
      <w:r>
        <w:rPr>
          <w:rFonts w:ascii="Arial" w:hAnsi="Arial" w:cs="Arial" w:eastAsia="Arial"/>
          <w:b/>
          <w:i w:val="0"/>
          <w:sz w:val="21"/>
        </w:rPr>
        <w:t>all</w:t>
      </w:r>
      <w:r>
        <w:rPr>
          <w:rFonts w:ascii="Arial" w:hAnsi="Arial" w:cs="Arial" w:eastAsia="Arial"/>
          <w:b w:val="0"/>
          <w:i w:val="0"/>
          <w:sz w:val="21"/>
        </w:rPr>
        <w:t xml:space="preserve"> services.</w:t>
      </w:r>
    </w:p>
    <w:p>
      <w:pPr>
        <w:pStyle w:val="ListBullet"/>
        <w:keepNext w:val="0"/>
        <w:spacing w:before="0" w:after="60" w:line="276" w:lineRule="auto"/>
        <w:ind w:left="432" w:hanging="288"/>
      </w:pPr>
      <w:r>
        <w:rPr>
          <w:rFonts w:ascii="Arial" w:hAnsi="Arial" w:cs="Arial" w:eastAsia="Arial"/>
          <w:b w:val="0"/>
          <w:i w:val="0"/>
          <w:sz w:val="21"/>
        </w:rPr>
        <w:t xml:space="preserve">Tokens are protected by a password. Access is revoked after </w:t>
      </w:r>
      <w:r>
        <w:rPr>
          <w:rFonts w:ascii="Arial" w:hAnsi="Arial" w:cs="Arial" w:eastAsia="Arial"/>
          <w:b/>
          <w:i w:val="0"/>
          <w:sz w:val="21"/>
        </w:rPr>
        <w:t>three</w:t>
      </w:r>
      <w:r>
        <w:rPr>
          <w:rFonts w:ascii="Arial" w:hAnsi="Arial" w:cs="Arial" w:eastAsia="Arial"/>
          <w:b w:val="0"/>
          <w:i w:val="0"/>
          <w:sz w:val="21"/>
        </w:rPr>
        <w:t xml:space="preserve"> wrong passwords or PINs.</w:t>
      </w:r>
    </w:p>
    <w:p>
      <w:pPr>
        <w:pStyle w:val="ListBullet"/>
        <w:keepNext w:val="0"/>
        <w:spacing w:before="0" w:after="60" w:line="276" w:lineRule="auto"/>
        <w:ind w:left="432" w:hanging="288"/>
      </w:pPr>
      <w:r>
        <w:rPr>
          <w:rFonts w:ascii="Arial" w:hAnsi="Arial" w:cs="Arial" w:eastAsia="Arial"/>
          <w:b w:val="0"/>
          <w:i w:val="0"/>
          <w:sz w:val="21"/>
        </w:rPr>
        <w:t>A customer's mobile number may only be changed at a branch or an ATM.</w:t>
      </w:r>
    </w:p>
    <w:p>
      <w:pPr>
        <w:pStyle w:val="ListBullet"/>
        <w:keepNext w:val="0"/>
        <w:spacing w:before="0" w:after="60" w:line="276" w:lineRule="auto"/>
        <w:ind w:left="432" w:hanging="288"/>
      </w:pPr>
      <w:r>
        <w:rPr>
          <w:rFonts w:ascii="Arial" w:hAnsi="Arial" w:cs="Arial" w:eastAsia="Arial"/>
          <w:b w:val="0"/>
          <w:i w:val="0"/>
          <w:sz w:val="21"/>
        </w:rPr>
        <w:t xml:space="preserve">A new multi-factor mechanism is requested and activated through </w:t>
      </w:r>
      <w:r>
        <w:rPr>
          <w:rFonts w:ascii="Arial" w:hAnsi="Arial" w:cs="Arial" w:eastAsia="Arial"/>
          <w:b/>
          <w:i w:val="0"/>
          <w:sz w:val="21"/>
        </w:rPr>
        <w:t>different channels</w:t>
      </w:r>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Multi-factor authentication is required for: sign-on; adding or changing beneficiaries; adding utility and government payees; high-risk transactions over set limits; and password resets.</w:t>
      </w:r>
    </w:p>
    <w:p>
      <w:pPr>
        <w:pStyle w:val="ListBullet"/>
        <w:keepNext w:val="0"/>
        <w:spacing w:before="0" w:after="60" w:line="276" w:lineRule="auto"/>
        <w:ind w:left="432" w:hanging="288"/>
      </w:pPr>
      <w:r>
        <w:rPr>
          <w:rFonts w:ascii="Arial" w:hAnsi="Arial" w:cs="Arial" w:eastAsia="Arial"/>
          <w:b w:val="0"/>
          <w:i w:val="0"/>
          <w:sz w:val="21"/>
        </w:rPr>
        <w:t>Beneficiaries are added and activated through different channels.</w:t>
      </w:r>
    </w:p>
    <w:p>
      <w:pPr>
        <w:keepNext w:val="0"/>
        <w:spacing w:before="0" w:after="40" w:line="240" w:lineRule="auto"/>
      </w:pPr>
    </w:p>
    <w:p>
      <w:pPr>
        <w:keepNext/>
        <w:spacing w:before="160" w:after="80" w:line="264" w:lineRule="auto"/>
      </w:pPr>
      <w:r>
        <w:rPr>
          <w:rFonts w:ascii="Arial" w:hAnsi="Arial" w:cs="Arial" w:eastAsia="Arial"/>
          <w:b/>
          <w:i w:val="0"/>
          <w:color w:val="1B253B"/>
          <w:sz w:val="23"/>
        </w:rPr>
        <w:t>Availability and agreements</w:t>
      </w:r>
    </w:p>
    <w:p>
      <w:pPr>
        <w:pStyle w:val="ListBullet"/>
        <w:keepNext w:val="0"/>
        <w:spacing w:before="0" w:after="60" w:line="276" w:lineRule="auto"/>
        <w:ind w:left="432" w:hanging="288"/>
      </w:pPr>
      <w:r>
        <w:rPr>
          <w:rFonts w:ascii="Arial" w:hAnsi="Arial" w:cs="Arial" w:eastAsia="Arial"/>
          <w:b w:val="0"/>
          <w:i w:val="0"/>
          <w:sz w:val="21"/>
        </w:rPr>
        <w:t xml:space="preserve">Services are highly available. The targets are </w:t>
      </w:r>
      <w:sdt>
        <w:sdtPr>
          <w:alias w:val="set in the service level standard"/>
          <w:tag w:val="24.availability"/>
        </w:sdtPr>
        <w:sdtContent>
          <w:r>
            <w:rPr>
              <w:rFonts w:ascii="Arial" w:hAnsi="Arial" w:cs="Arial" w:eastAsia="Arial"/>
              <w:b w:val="0"/>
              <w:i w:val="0"/>
              <w:sz w:val="21"/>
              <w:highlight w:val="yellow"/>
            </w:rPr>
            <w:t>&lt;set in the service level standard&gt;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SAMA and customers are told in good time about scheduled downtime.</w:t>
      </w:r>
    </w:p>
    <w:p>
      <w:pPr>
        <w:pStyle w:val="ListBullet"/>
        <w:keepNext w:val="0"/>
        <w:spacing w:before="0" w:after="60" w:line="276" w:lineRule="auto"/>
        <w:ind w:left="432" w:hanging="288"/>
      </w:pPr>
      <w:r>
        <w:rPr>
          <w:rFonts w:ascii="Arial" w:hAnsi="Arial" w:cs="Arial" w:eastAsia="Arial"/>
          <w:b w:val="0"/>
          <w:i w:val="0"/>
          <w:sz w:val="21"/>
        </w:rPr>
        <w:t>Customer agreements set out the roles, responsibilities and liabilities of the organisation and the customer.</w:t>
      </w:r>
    </w:p>
    <w:p>
      <w:pPr>
        <w:pStyle w:val="ListBullet"/>
        <w:keepNext w:val="0"/>
        <w:spacing w:before="0" w:after="60" w:line="276" w:lineRule="auto"/>
        <w:ind w:left="432" w:hanging="288"/>
      </w:pPr>
      <w:r>
        <w:rPr>
          <w:rFonts w:ascii="Arial" w:hAnsi="Arial" w:cs="Arial" w:eastAsia="Arial"/>
          <w:b/>
          <w:i w:val="0"/>
          <w:sz w:val="21"/>
        </w:rPr>
        <w:t>SAMA's approval is obtained before any new electronic banking service is launched</w:t>
      </w:r>
      <w:r>
        <w:rPr>
          <w:rFonts w:ascii="Arial" w:hAnsi="Arial" w:cs="Arial" w:eastAsia="Arial"/>
          <w:b w:val="0"/>
          <w:i w:val="0"/>
          <w:sz w:val="21"/>
        </w:rPr>
        <w:t xml:space="preserve"> (SAMA-32).</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ATMs and point-of-sale terminals</w:t>
      </w:r>
    </w:p>
    <w:p>
      <w:pPr>
        <w:pStyle w:val="ListBullet"/>
        <w:keepNext w:val="0"/>
        <w:spacing w:before="0" w:after="60" w:line="276" w:lineRule="auto"/>
        <w:ind w:left="432" w:hanging="288"/>
      </w:pPr>
      <w:r>
        <w:rPr>
          <w:rFonts w:ascii="Arial" w:hAnsi="Arial" w:cs="Arial" w:eastAsia="Arial"/>
          <w:b w:val="0"/>
          <w:i w:val="0"/>
          <w:sz w:val="21"/>
        </w:rPr>
        <w:t>Prevent and detect abuse of their software and hardware, for example through cables, USB ports and rebooting.</w:t>
      </w:r>
    </w:p>
    <w:p>
      <w:pPr>
        <w:pStyle w:val="ListBullet"/>
        <w:keepNext w:val="0"/>
        <w:spacing w:before="0" w:after="60" w:line="276" w:lineRule="auto"/>
        <w:ind w:left="432" w:hanging="288"/>
      </w:pPr>
      <w:r>
        <w:rPr>
          <w:rFonts w:ascii="Arial" w:hAnsi="Arial" w:cs="Arial" w:eastAsia="Arial"/>
          <w:b w:val="0"/>
          <w:i w:val="0"/>
          <w:sz w:val="21"/>
        </w:rPr>
        <w:t>Hardening, malware protection and privacy screens. Passwords and account numbers are masked on screen and on receipts.</w:t>
      </w:r>
    </w:p>
    <w:p>
      <w:pPr>
        <w:pStyle w:val="ListBullet"/>
        <w:keepNext w:val="0"/>
        <w:spacing w:before="0" w:after="60" w:line="276" w:lineRule="auto"/>
        <w:ind w:left="432" w:hanging="288"/>
      </w:pPr>
      <w:r>
        <w:rPr>
          <w:rFonts w:ascii="Arial" w:hAnsi="Arial" w:cs="Arial" w:eastAsia="Arial"/>
          <w:b w:val="0"/>
          <w:i w:val="0"/>
          <w:sz w:val="21"/>
        </w:rPr>
        <w:t>Geo-blocking: cards are disabled by default outside the GCC, and magnetic stripe transactions are disabled.</w:t>
      </w:r>
    </w:p>
    <w:p>
      <w:pPr>
        <w:pStyle w:val="ListBullet"/>
        <w:keepNext w:val="0"/>
        <w:spacing w:before="0" w:after="60" w:line="276" w:lineRule="auto"/>
        <w:ind w:left="432" w:hanging="288"/>
      </w:pPr>
      <w:r>
        <w:rPr>
          <w:rFonts w:ascii="Arial" w:hAnsi="Arial" w:cs="Arial" w:eastAsia="Arial"/>
          <w:b w:val="0"/>
          <w:i w:val="0"/>
          <w:sz w:val="21"/>
        </w:rPr>
        <w:t>CCTV. Cards are revoked after three wrong PINs. Anti-skimming and PIN-pad protection.</w:t>
      </w:r>
    </w:p>
    <w:p>
      <w:pPr>
        <w:pStyle w:val="ListBullet"/>
        <w:keepNext w:val="0"/>
        <w:spacing w:before="0" w:after="60" w:line="276" w:lineRule="auto"/>
        <w:ind w:left="432" w:hanging="288"/>
      </w:pPr>
      <w:r>
        <w:rPr>
          <w:rFonts w:ascii="Arial" w:hAnsi="Arial" w:cs="Arial" w:eastAsia="Arial"/>
          <w:b w:val="0"/>
          <w:i w:val="0"/>
          <w:sz w:val="21"/>
        </w:rPr>
        <w:t>An ATM can be stopped remotely when malicious activity is seen.</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SMS notifications</w:t>
      </w:r>
    </w:p>
    <w:p>
      <w:pPr>
        <w:pStyle w:val="ListBullet"/>
        <w:keepNext w:val="0"/>
        <w:spacing w:before="0" w:after="60" w:line="276" w:lineRule="auto"/>
        <w:ind w:left="432" w:hanging="288"/>
      </w:pPr>
      <w:r>
        <w:rPr>
          <w:rFonts w:ascii="Arial" w:hAnsi="Arial" w:cs="Arial" w:eastAsia="Arial"/>
          <w:b w:val="0"/>
          <w:i w:val="0"/>
          <w:sz w:val="21"/>
        </w:rPr>
        <w:t>No sensitive data in messages, such as account balances, except for credit cards.</w:t>
      </w:r>
    </w:p>
    <w:p>
      <w:pPr>
        <w:pStyle w:val="ListBullet"/>
        <w:keepNext w:val="0"/>
        <w:spacing w:before="0" w:after="60" w:line="276" w:lineRule="auto"/>
        <w:ind w:left="432" w:hanging="288"/>
      </w:pPr>
      <w:r>
        <w:rPr>
          <w:rFonts w:ascii="Arial" w:hAnsi="Arial" w:cs="Arial" w:eastAsia="Arial"/>
          <w:b w:val="0"/>
          <w:i w:val="0"/>
          <w:sz w:val="21"/>
        </w:rPr>
        <w:t>Alerts go to both the old and the new number when a mobile number changes.</w:t>
      </w:r>
    </w:p>
    <w:p>
      <w:pPr>
        <w:pStyle w:val="ListBullet"/>
        <w:keepNext w:val="0"/>
        <w:spacing w:before="0" w:after="60" w:line="276" w:lineRule="auto"/>
        <w:ind w:left="432" w:hanging="288"/>
      </w:pPr>
      <w:r>
        <w:rPr>
          <w:rFonts w:ascii="Arial" w:hAnsi="Arial" w:cs="Arial" w:eastAsia="Arial"/>
          <w:b w:val="0"/>
          <w:i w:val="0"/>
          <w:sz w:val="21"/>
        </w:rPr>
        <w:t>A message is sent when a new multi-factor mechanism is requested.</w:t>
      </w:r>
    </w:p>
    <w:p>
      <w:pPr>
        <w:pStyle w:val="ListBullet"/>
        <w:keepNext w:val="0"/>
        <w:spacing w:before="0" w:after="60" w:line="276" w:lineRule="auto"/>
        <w:ind w:left="432" w:hanging="288"/>
      </w:pPr>
      <w:r>
        <w:rPr>
          <w:rFonts w:ascii="Arial" w:hAnsi="Arial" w:cs="Arial" w:eastAsia="Arial"/>
          <w:b w:val="0"/>
          <w:i w:val="0"/>
          <w:sz w:val="21"/>
        </w:rPr>
        <w:t>A message is sent for every retail and personal financial transaction.</w:t>
      </w:r>
    </w:p>
    <w:p>
      <w:pPr>
        <w:pStyle w:val="ListBullet"/>
        <w:keepNext w:val="0"/>
        <w:spacing w:before="0" w:after="60" w:line="276" w:lineRule="auto"/>
        <w:ind w:left="432" w:hanging="288"/>
      </w:pPr>
      <w:r>
        <w:rPr>
          <w:rFonts w:ascii="Arial" w:hAnsi="Arial" w:cs="Arial" w:eastAsia="Arial"/>
          <w:b w:val="0"/>
          <w:i w:val="0"/>
          <w:sz w:val="21"/>
        </w:rPr>
        <w:t>A message is sent when beneficiaries are added, changed or activated.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Electronic banking services register</w:t>
      </w:r>
    </w:p>
    <w:tbl>
      <w:tblPr>
        <w:tblStyle w:val="TableGrid"/>
        <w:tblW w:type="auto" w:w="0"/>
        <w:jc w:val="center"/>
        <w:tblLayout w:type="fixed"/>
        <w:tblLook w:firstColumn="1" w:firstRow="1" w:lastColumn="0" w:lastRow="0" w:noHBand="0" w:noVBand="1" w:val="04A0"/>
        <w:tblCaption w:val="list:24.services"/>
      </w:tblPr>
      <w:tblGrid>
        <w:gridCol w:w="1529"/>
        <w:gridCol w:w="1529"/>
        <w:gridCol w:w="1529"/>
        <w:gridCol w:w="1529"/>
        <w:gridCol w:w="1529"/>
        <w:gridCol w:w="1529"/>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Service</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Channel</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SAMA approval</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Launched</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Last security review</w:t>
            </w:r>
          </w:p>
        </w:tc>
      </w:tr>
      <w:tr>
        <w:trPr>
          <w:cantSplit w:val="true"/>
        </w:trPr>
        <w:tc>
          <w:tcPr>
            <w:tcW w:type="dxa" w:w="2160"/>
          </w:tcPr>
          <w:p>
            <w:pPr>
              <w:keepNext w:val="0"/>
              <w:spacing w:before="40" w:after="40" w:line="240" w:lineRule="auto"/>
            </w:pPr>
            <w:r>
              <w:rPr>
                <w:rFonts w:ascii="Arial" w:hAnsi="Arial" w:cs="Arial" w:eastAsia="Arial"/>
                <w:b w:val="0"/>
                <w:i w:val="0"/>
                <w:sz w:val="18"/>
                <w:highlight w:val="yellow"/>
              </w:rPr>
              <w:t>&lt;Service&gt;</w:t>
            </w:r>
          </w:p>
        </w:tc>
        <w:tc>
          <w:tcPr>
            <w:tcW w:type="dxa" w:w="1296"/>
          </w:tcPr>
          <w:p>
            <w:pPr>
              <w:keepNext w:val="0"/>
              <w:spacing w:before="40" w:after="40" w:line="240" w:lineRule="auto"/>
            </w:pPr>
            <w:r>
              <w:rPr>
                <w:rFonts w:ascii="Arial" w:hAnsi="Arial" w:cs="Arial" w:eastAsia="Arial"/>
                <w:b w:val="0"/>
                <w:i w:val="0"/>
                <w:sz w:val="18"/>
                <w:highlight w:val="yellow"/>
              </w:rPr>
              <w:t>&lt;Channel&gt;</w:t>
            </w:r>
          </w:p>
        </w:tc>
        <w:tc>
          <w:tcPr>
            <w:tcW w:type="dxa" w:w="1296"/>
          </w:tcPr>
          <w:p>
            <w:pPr>
              <w:keepNext w:val="0"/>
              <w:spacing w:before="40" w:after="40" w:line="240" w:lineRule="auto"/>
            </w:pPr>
            <w:r>
              <w:rPr>
                <w:rFonts w:ascii="Arial" w:hAnsi="Arial" w:cs="Arial" w:eastAsia="Arial"/>
                <w:b w:val="0"/>
                <w:i w:val="0"/>
                <w:sz w:val="18"/>
                <w:highlight w:val="yellow"/>
              </w:rPr>
              <w:t>&lt;Owner&gt;</w:t>
            </w:r>
          </w:p>
        </w:tc>
        <w:tc>
          <w:tcPr>
            <w:tcW w:type="dxa" w:w="1584"/>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728"/>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2160"/>
          </w:tcPr>
          <w:p>
            <w:pPr>
              <w:keepNext w:val="0"/>
              <w:spacing w:before="40" w:after="40" w:line="240" w:lineRule="auto"/>
            </w:pPr>
            <w:r>
              <w:rPr>
                <w:rFonts w:ascii="Arial" w:hAnsi="Arial" w:cs="Arial" w:eastAsia="Arial"/>
                <w:b w:val="0"/>
                <w:i w:val="0"/>
                <w:sz w:val="18"/>
                <w:highlight w:val="yellow"/>
              </w:rPr>
              <w:t>&lt;Service&gt;</w:t>
            </w:r>
          </w:p>
        </w:tc>
        <w:tc>
          <w:tcPr>
            <w:tcW w:type="dxa" w:w="1296"/>
          </w:tcPr>
          <w:p>
            <w:pPr>
              <w:keepNext w:val="0"/>
              <w:spacing w:before="40" w:after="40" w:line="240" w:lineRule="auto"/>
            </w:pPr>
            <w:r>
              <w:rPr>
                <w:rFonts w:ascii="Arial" w:hAnsi="Arial" w:cs="Arial" w:eastAsia="Arial"/>
                <w:b w:val="0"/>
                <w:i w:val="0"/>
                <w:sz w:val="18"/>
                <w:highlight w:val="yellow"/>
              </w:rPr>
              <w:t>&lt;Channel&gt;</w:t>
            </w:r>
          </w:p>
        </w:tc>
        <w:tc>
          <w:tcPr>
            <w:tcW w:type="dxa" w:w="1296"/>
          </w:tcPr>
          <w:p>
            <w:pPr>
              <w:keepNext w:val="0"/>
              <w:spacing w:before="40" w:after="40" w:line="240" w:lineRule="auto"/>
            </w:pPr>
            <w:r>
              <w:rPr>
                <w:rFonts w:ascii="Arial" w:hAnsi="Arial" w:cs="Arial" w:eastAsia="Arial"/>
                <w:b w:val="0"/>
                <w:i w:val="0"/>
                <w:sz w:val="18"/>
                <w:highlight w:val="yellow"/>
              </w:rPr>
              <w:t>&lt;Owner&gt;</w:t>
            </w:r>
          </w:p>
        </w:tc>
        <w:tc>
          <w:tcPr>
            <w:tcW w:type="dxa" w:w="1584"/>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728"/>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4.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New services launched with SAMA's approval</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ATMs and terminals meeting the hardening standard</w:t>
            </w:r>
          </w:p>
        </w:tc>
        <w:tc>
          <w:tcPr>
            <w:tcW w:type="dxa" w:w="2592"/>
          </w:tcPr>
          <w:p>
            <w:pPr>
              <w:keepNext w:val="0"/>
              <w:spacing w:before="40" w:after="40" w:line="240" w:lineRule="auto"/>
            </w:pPr>
            <w:sdt>
              <w:sdtPr>
                <w:alias w:val="100%"/>
                <w:tag w:val="24.t4.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3.3.13.1</w:t>
            </w:r>
          </w:p>
        </w:tc>
        <w:tc>
          <w:tcPr>
            <w:tcW w:type="dxa" w:w="7920"/>
          </w:tcPr>
          <w:p>
            <w:pPr>
              <w:keepNext w:val="0"/>
              <w:spacing w:before="40" w:after="40" w:line="240" w:lineRule="auto"/>
            </w:pPr>
            <w:r>
              <w:rPr>
                <w:rFonts w:ascii="Arial" w:hAnsi="Arial" w:cs="Arial" w:eastAsia="Arial"/>
                <w:b w:val="0"/>
                <w:i w:val="0"/>
                <w:sz w:val="18"/>
              </w:rPr>
              <w:t>Standard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3.3.13.2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3.3.13.3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3.3.13.4</w:t>
            </w:r>
          </w:p>
        </w:tc>
        <w:tc>
          <w:tcPr>
            <w:tcW w:type="dxa" w:w="7920"/>
          </w:tcPr>
          <w:p>
            <w:pPr>
              <w:keepNext w:val="0"/>
              <w:spacing w:before="40" w:after="40" w:line="240" w:lineRule="auto"/>
            </w:pPr>
            <w:r>
              <w:rPr>
                <w:rFonts w:ascii="Arial" w:hAnsi="Arial" w:cs="Arial" w:eastAsia="Arial"/>
                <w:b w:val="0"/>
                <w:i w:val="0"/>
                <w:sz w:val="18"/>
              </w:rPr>
              <w:t>Brand protection; online, mobile and phone banking; ATMs and point-of-sale; SMS notifications; SAMA approval for new services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Electronic Banking Security Standard</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Banking Security Standard</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