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Event Management and Monitoring</w:t>
      </w:r>
    </w:p>
    <w:p>
      <w:pPr>
        <w:keepNext w:val="0"/>
        <w:spacing w:before="0" w:after="200" w:line="240" w:lineRule="auto"/>
      </w:pPr>
      <w:r>
        <w:rPr>
          <w:rFonts w:ascii="Arial" w:hAnsi="Arial" w:cs="Arial" w:eastAsia="Arial"/>
          <w:b w:val="0"/>
          <w:i w:val="0"/>
          <w:color w:val="5B6678"/>
          <w:sz w:val="21"/>
        </w:rPr>
        <w:t>How security events are monitored, analysed and handled around the clock.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SAMA-25</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process analyses operational and security logs and responds to security events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anomalies and suspicious events are found and dealt with in time.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information asset, with the events to monitor set by its classification or risk profile.</w:t>
      </w:r>
    </w:p>
    <w:p>
      <w:pPr>
        <w:keepNext/>
        <w:spacing w:before="280" w:after="120" w:line="264" w:lineRule="auto"/>
      </w:pPr>
      <w:r>
        <w:rPr>
          <w:rFonts w:ascii="Arial" w:hAnsi="Arial" w:cs="Arial" w:eastAsia="Arial"/>
          <w:b/>
          <w:i w:val="0"/>
          <w:color w:val="1B253B"/>
          <w:sz w:val="28"/>
        </w:rPr>
        <w:t>3. The security operations centre</w:t>
      </w:r>
    </w:p>
    <w:p>
      <w:pPr>
        <w:pStyle w:val="ListBullet"/>
        <w:keepNext w:val="0"/>
        <w:spacing w:before="0" w:after="60" w:line="276" w:lineRule="auto"/>
        <w:ind w:left="432" w:hanging="288"/>
      </w:pPr>
      <w:r>
        <w:rPr>
          <w:rFonts w:ascii="Arial" w:hAnsi="Arial" w:cs="Arial" w:eastAsia="Arial"/>
          <w:b w:val="0"/>
          <w:i w:val="0"/>
          <w:sz w:val="21"/>
        </w:rPr>
        <w:t xml:space="preserve">A designated security monitoring team, the Security Operations Centre (SOC), is run by </w:t>
      </w:r>
      <w:sdt>
        <w:sdtPr>
          <w:alias w:val="the cyber security function or a contracted provider"/>
          <w:tag w:val="25.soc"/>
        </w:sdtPr>
        <w:sdtContent>
          <w:r>
            <w:rPr>
              <w:rFonts w:ascii="Arial" w:hAnsi="Arial" w:cs="Arial" w:eastAsia="Arial"/>
              <w:b w:val="0"/>
              <w:i w:val="0"/>
              <w:sz w:val="21"/>
              <w:highlight w:val="yellow"/>
            </w:rPr>
            <w:t>&lt;the cyber security function or a contracted provider&gt;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Its staff are skilled and continuously trained (SAMA-07).</w:t>
      </w:r>
    </w:p>
    <w:p>
      <w:pPr>
        <w:pStyle w:val="ListBullet"/>
        <w:keepNext w:val="0"/>
        <w:spacing w:before="0" w:after="60" w:line="276" w:lineRule="auto"/>
        <w:ind w:left="432" w:hanging="288"/>
      </w:pPr>
      <w:r>
        <w:rPr>
          <w:rFonts w:ascii="Arial" w:hAnsi="Arial" w:cs="Arial" w:eastAsia="Arial"/>
          <w:b w:val="0"/>
          <w:i w:val="0"/>
          <w:sz w:val="21"/>
        </w:rPr>
        <w:t>SOC work is done in a restricted area, with entry for named people only.</w:t>
      </w:r>
    </w:p>
    <w:p>
      <w:pPr>
        <w:pStyle w:val="ListBullet"/>
        <w:keepNext w:val="0"/>
        <w:spacing w:before="0" w:after="60" w:line="276" w:lineRule="auto"/>
        <w:ind w:left="432" w:hanging="288"/>
      </w:pPr>
      <w:r>
        <w:rPr>
          <w:rFonts w:ascii="Arial" w:hAnsi="Arial" w:cs="Arial" w:eastAsia="Arial"/>
          <w:b w:val="0"/>
          <w:i w:val="0"/>
          <w:sz w:val="21"/>
        </w:rPr>
        <w:t xml:space="preserve">Resources are provided for monitoring </w:t>
      </w:r>
      <w:r>
        <w:rPr>
          <w:rFonts w:ascii="Arial" w:hAnsi="Arial" w:cs="Arial" w:eastAsia="Arial"/>
          <w:b/>
          <w:i w:val="0"/>
          <w:sz w:val="21"/>
        </w:rPr>
        <w:t>24 hours a day, 7 days a week</w:t>
      </w:r>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What the SOC does</w:t>
      </w:r>
    </w:p>
    <w:p>
      <w:pPr>
        <w:pStyle w:val="ListBullet"/>
        <w:keepNext w:val="0"/>
        <w:spacing w:before="0" w:after="60" w:line="276" w:lineRule="auto"/>
        <w:ind w:left="432" w:hanging="288"/>
      </w:pPr>
      <w:r>
        <w:rPr>
          <w:rFonts w:ascii="Arial" w:hAnsi="Arial" w:cs="Arial" w:eastAsia="Arial"/>
          <w:b w:val="0"/>
          <w:i w:val="0"/>
          <w:sz w:val="21"/>
        </w:rPr>
        <w:t>Detects and handles malicious code.</w:t>
      </w:r>
    </w:p>
    <w:p>
      <w:pPr>
        <w:pStyle w:val="ListBullet"/>
        <w:keepNext w:val="0"/>
        <w:spacing w:before="0" w:after="60" w:line="276" w:lineRule="auto"/>
        <w:ind w:left="432" w:hanging="288"/>
      </w:pPr>
      <w:r>
        <w:rPr>
          <w:rFonts w:ascii="Arial" w:hAnsi="Arial" w:cs="Arial" w:eastAsia="Arial"/>
          <w:b w:val="0"/>
          <w:i w:val="0"/>
          <w:sz w:val="21"/>
        </w:rPr>
        <w:t>Detects and handles suspicious events and anomalies.</w:t>
      </w:r>
    </w:p>
    <w:p>
      <w:pPr>
        <w:pStyle w:val="ListBullet"/>
        <w:keepNext w:val="0"/>
        <w:spacing w:before="0" w:after="60" w:line="276" w:lineRule="auto"/>
        <w:ind w:left="432" w:hanging="288"/>
      </w:pPr>
      <w:r>
        <w:rPr>
          <w:rFonts w:ascii="Arial" w:hAnsi="Arial" w:cs="Arial" w:eastAsia="Arial"/>
          <w:b w:val="0"/>
          <w:i w:val="0"/>
          <w:sz w:val="21"/>
        </w:rPr>
        <w:t>Analyses network packets where needed.</w:t>
      </w:r>
    </w:p>
    <w:p>
      <w:pPr>
        <w:pStyle w:val="ListBullet"/>
        <w:keepNext w:val="0"/>
        <w:spacing w:before="0" w:after="60" w:line="276" w:lineRule="auto"/>
        <w:ind w:left="432" w:hanging="288"/>
      </w:pPr>
      <w:r>
        <w:rPr>
          <w:rFonts w:ascii="Arial" w:hAnsi="Arial" w:cs="Arial" w:eastAsia="Arial"/>
          <w:b w:val="0"/>
          <w:i w:val="0"/>
          <w:sz w:val="21"/>
        </w:rPr>
        <w:t>Keeps logs well protected from change and loss.</w:t>
      </w:r>
    </w:p>
    <w:p>
      <w:pPr>
        <w:pStyle w:val="ListBullet"/>
        <w:keepNext w:val="0"/>
        <w:spacing w:before="0" w:after="60" w:line="276" w:lineRule="auto"/>
        <w:ind w:left="432" w:hanging="288"/>
      </w:pPr>
      <w:r>
        <w:rPr>
          <w:rFonts w:ascii="Arial" w:hAnsi="Arial" w:cs="Arial" w:eastAsia="Arial"/>
          <w:b w:val="0"/>
          <w:i w:val="0"/>
          <w:sz w:val="21"/>
        </w:rPr>
        <w:t>Monitors compliance with the application and infrastructure standards, periodically.</w:t>
      </w:r>
    </w:p>
    <w:p>
      <w:pPr>
        <w:pStyle w:val="ListBullet"/>
        <w:keepNext w:val="0"/>
        <w:spacing w:before="0" w:after="60" w:line="276" w:lineRule="auto"/>
        <w:ind w:left="432" w:hanging="288"/>
      </w:pPr>
      <w:r>
        <w:rPr>
          <w:rFonts w:ascii="Arial" w:hAnsi="Arial" w:cs="Arial" w:eastAsia="Arial"/>
          <w:b w:val="0"/>
          <w:i w:val="0"/>
          <w:sz w:val="21"/>
        </w:rPr>
        <w:t>Analyses and correlates logs automatically and centrally with a security information and event management (SIEM) tool.</w:t>
      </w:r>
    </w:p>
    <w:p>
      <w:pPr>
        <w:pStyle w:val="ListBullet"/>
        <w:keepNext w:val="0"/>
        <w:spacing w:before="0" w:after="60" w:line="276" w:lineRule="auto"/>
        <w:ind w:left="432" w:hanging="288"/>
      </w:pPr>
      <w:r>
        <w:rPr>
          <w:rFonts w:ascii="Arial" w:hAnsi="Arial" w:cs="Arial" w:eastAsia="Arial"/>
          <w:b w:val="0"/>
          <w:i w:val="0"/>
          <w:sz w:val="21"/>
        </w:rPr>
        <w:t>Reports security incidents under SAMA-26.</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Security event monitoring standard</w:t>
      </w:r>
    </w:p>
    <w:p>
      <w:pPr>
        <w:keepNext w:val="0"/>
        <w:spacing w:before="0" w:after="120" w:line="276" w:lineRule="auto"/>
      </w:pPr>
      <w:r>
        <w:rPr>
          <w:rFonts w:ascii="Arial" w:hAnsi="Arial" w:cs="Arial" w:eastAsia="Arial"/>
          <w:b w:val="0"/>
          <w:i w:val="0"/>
          <w:sz w:val="21"/>
        </w:rPr>
        <w:t>For every information asset, the standard sets the events that must be monitored, based on the asset's classification or risk profile. The minimum is below.</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880"/>
            <w:shd w:val="clear" w:color="auto" w:fill="DCE6F5"/>
          </w:tcPr>
          <w:p>
            <w:pPr>
              <w:keepNext w:val="0"/>
              <w:spacing w:before="40" w:after="40" w:line="240" w:lineRule="auto"/>
            </w:pPr>
            <w:r>
              <w:rPr>
                <w:rFonts w:ascii="Arial" w:hAnsi="Arial" w:cs="Arial" w:eastAsia="Arial"/>
                <w:b/>
                <w:i w:val="0"/>
                <w:color w:val="1B253B"/>
                <w:sz w:val="18"/>
              </w:rPr>
              <w:t>Asset class</w:t>
            </w:r>
          </w:p>
        </w:tc>
        <w:tc>
          <w:tcPr>
            <w:tcW w:type="dxa" w:w="4896"/>
            <w:shd w:val="clear" w:color="auto" w:fill="DCE6F5"/>
          </w:tcPr>
          <w:p>
            <w:pPr>
              <w:keepNext w:val="0"/>
              <w:spacing w:before="40" w:after="40" w:line="240" w:lineRule="auto"/>
            </w:pPr>
            <w:r>
              <w:rPr>
                <w:rFonts w:ascii="Arial" w:hAnsi="Arial" w:cs="Arial" w:eastAsia="Arial"/>
                <w:b/>
                <w:i w:val="0"/>
                <w:color w:val="1B253B"/>
                <w:sz w:val="18"/>
              </w:rPr>
              <w:t>Events monitored</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Log kept for</w:t>
            </w:r>
          </w:p>
        </w:tc>
      </w:tr>
      <w:tr>
        <w:trPr>
          <w:cantSplit w:val="true"/>
        </w:trPr>
        <w:tc>
          <w:tcPr>
            <w:tcW w:type="dxa" w:w="2880"/>
          </w:tcPr>
          <w:p>
            <w:pPr>
              <w:keepNext w:val="0"/>
              <w:spacing w:before="40" w:after="40" w:line="240" w:lineRule="auto"/>
            </w:pPr>
            <w:r>
              <w:rPr>
                <w:rFonts w:ascii="Arial" w:hAnsi="Arial" w:cs="Arial" w:eastAsia="Arial"/>
                <w:b w:val="0"/>
                <w:i w:val="0"/>
                <w:sz w:val="18"/>
              </w:rPr>
              <w:t>Critical systems (Restricted)</w:t>
            </w:r>
          </w:p>
        </w:tc>
        <w:tc>
          <w:tcPr>
            <w:tcW w:type="dxa" w:w="4896"/>
          </w:tcPr>
          <w:p>
            <w:pPr>
              <w:keepNext w:val="0"/>
              <w:spacing w:before="40" w:after="40" w:line="240" w:lineRule="auto"/>
            </w:pPr>
            <w:sdt>
              <w:sdtPr>
                <w:alias w:val="All authentication and access events, privileged actions, co"/>
                <w:tag w:val="25.t3.r0.c1"/>
              </w:sdtPr>
              <w:sdtContent>
                <w:r>
                  <w:rPr>
                    <w:rFonts w:ascii="Arial" w:hAnsi="Arial" w:cs="Arial" w:eastAsia="Arial"/>
                    <w:b w:val="0"/>
                    <w:i w:val="0"/>
                    <w:sz w:val="18"/>
                    <w:highlight w:val="yellow"/>
                  </w:rPr>
                  <w:t>&lt;All authentication and access events, privileged actions, configuration changes, data export, administrator activity, alerts&gt;</w:t>
                </w:r>
              </w:sdtContent>
            </w:sdt>
          </w:p>
        </w:tc>
        <w:tc>
          <w:tcPr>
            <w:tcW w:type="dxa" w:w="1440"/>
          </w:tcPr>
          <w:p>
            <w:pPr>
              <w:keepNext w:val="0"/>
              <w:spacing w:before="40" w:after="40" w:line="240" w:lineRule="auto"/>
            </w:pPr>
            <w:sdt>
              <w:sdtPr>
                <w:alias w:val="At least 12 months"/>
                <w:tag w:val="25.t3.r0.c2"/>
              </w:sdtPr>
              <w:sdtContent>
                <w:r>
                  <w:rPr>
                    <w:rFonts w:ascii="Arial" w:hAnsi="Arial" w:cs="Arial" w:eastAsia="Arial"/>
                    <w:b w:val="0"/>
                    <w:i w:val="0"/>
                    <w:sz w:val="18"/>
                    <w:highlight w:val="yellow"/>
                  </w:rPr>
                  <w:t>&lt;At least 12 months&gt;</w:t>
                </w:r>
              </w:sdtContent>
            </w:sdt>
          </w:p>
        </w:tc>
      </w:tr>
      <w:tr>
        <w:trPr>
          <w:cantSplit w:val="true"/>
        </w:trPr>
        <w:tc>
          <w:tcPr>
            <w:tcW w:type="dxa" w:w="2880"/>
          </w:tcPr>
          <w:p>
            <w:pPr>
              <w:keepNext w:val="0"/>
              <w:spacing w:before="40" w:after="40" w:line="240" w:lineRule="auto"/>
            </w:pPr>
            <w:r>
              <w:rPr>
                <w:rFonts w:ascii="Arial" w:hAnsi="Arial" w:cs="Arial" w:eastAsia="Arial"/>
                <w:b w:val="0"/>
                <w:i w:val="0"/>
                <w:sz w:val="18"/>
              </w:rPr>
              <w:t>Important systems (Confidential)</w:t>
            </w:r>
          </w:p>
        </w:tc>
        <w:tc>
          <w:tcPr>
            <w:tcW w:type="dxa" w:w="4896"/>
          </w:tcPr>
          <w:p>
            <w:pPr>
              <w:keepNext w:val="0"/>
              <w:spacing w:before="40" w:after="40" w:line="240" w:lineRule="auto"/>
            </w:pPr>
            <w:sdt>
              <w:sdtPr>
                <w:alias w:val="Authentication failures and successes, privileged actions, c"/>
                <w:tag w:val="25.t3.r1.c1"/>
              </w:sdtPr>
              <w:sdtContent>
                <w:r>
                  <w:rPr>
                    <w:rFonts w:ascii="Arial" w:hAnsi="Arial" w:cs="Arial" w:eastAsia="Arial"/>
                    <w:b w:val="0"/>
                    <w:i w:val="0"/>
                    <w:sz w:val="18"/>
                    <w:highlight w:val="yellow"/>
                  </w:rPr>
                  <w:t>&lt;Authentication failures and successes, privileged actions, changes, alerts&gt;</w:t>
                </w:r>
              </w:sdtContent>
            </w:sdt>
          </w:p>
        </w:tc>
        <w:tc>
          <w:tcPr>
            <w:tcW w:type="dxa" w:w="1440"/>
          </w:tcPr>
          <w:p>
            <w:pPr>
              <w:keepNext w:val="0"/>
              <w:spacing w:before="40" w:after="40" w:line="240" w:lineRule="auto"/>
            </w:pPr>
            <w:sdt>
              <w:sdtPr>
                <w:alias w:val="At least 12 months"/>
                <w:tag w:val="25.t3.r1.c2"/>
              </w:sdtPr>
              <w:sdtContent>
                <w:r>
                  <w:rPr>
                    <w:rFonts w:ascii="Arial" w:hAnsi="Arial" w:cs="Arial" w:eastAsia="Arial"/>
                    <w:b w:val="0"/>
                    <w:i w:val="0"/>
                    <w:sz w:val="18"/>
                    <w:highlight w:val="yellow"/>
                  </w:rPr>
                  <w:t>&lt;At least 12 months&gt;</w:t>
                </w:r>
              </w:sdtContent>
            </w:sdt>
          </w:p>
        </w:tc>
      </w:tr>
      <w:tr>
        <w:trPr>
          <w:cantSplit w:val="true"/>
        </w:trPr>
        <w:tc>
          <w:tcPr>
            <w:tcW w:type="dxa" w:w="2880"/>
          </w:tcPr>
          <w:p>
            <w:pPr>
              <w:keepNext w:val="0"/>
              <w:spacing w:before="40" w:after="40" w:line="240" w:lineRule="auto"/>
            </w:pPr>
            <w:r>
              <w:rPr>
                <w:rFonts w:ascii="Arial" w:hAnsi="Arial" w:cs="Arial" w:eastAsia="Arial"/>
                <w:b w:val="0"/>
                <w:i w:val="0"/>
                <w:sz w:val="18"/>
              </w:rPr>
              <w:t>Other systems (Internal)</w:t>
            </w:r>
          </w:p>
        </w:tc>
        <w:tc>
          <w:tcPr>
            <w:tcW w:type="dxa" w:w="4896"/>
          </w:tcPr>
          <w:p>
            <w:pPr>
              <w:keepNext w:val="0"/>
              <w:spacing w:before="40" w:after="40" w:line="240" w:lineRule="auto"/>
            </w:pPr>
            <w:sdt>
              <w:sdtPr>
                <w:alias w:val="Authentication failures, changes, alerts"/>
                <w:tag w:val="25.t3.r2.c1"/>
              </w:sdtPr>
              <w:sdtContent>
                <w:r>
                  <w:rPr>
                    <w:rFonts w:ascii="Arial" w:hAnsi="Arial" w:cs="Arial" w:eastAsia="Arial"/>
                    <w:b w:val="0"/>
                    <w:i w:val="0"/>
                    <w:sz w:val="18"/>
                    <w:highlight w:val="yellow"/>
                  </w:rPr>
                  <w:t>&lt;Authentication failures, changes, alerts&gt;</w:t>
                </w:r>
              </w:sdtContent>
            </w:sdt>
          </w:p>
        </w:tc>
        <w:tc>
          <w:tcPr>
            <w:tcW w:type="dxa" w:w="1440"/>
          </w:tcPr>
          <w:p>
            <w:pPr>
              <w:keepNext w:val="0"/>
              <w:spacing w:before="40" w:after="40" w:line="240" w:lineRule="auto"/>
            </w:pPr>
            <w:sdt>
              <w:sdtPr>
                <w:alias w:val="At least 6 months"/>
                <w:tag w:val="25.t3.r2.c2"/>
              </w:sdtPr>
              <w:sdtContent>
                <w:r>
                  <w:rPr>
                    <w:rFonts w:ascii="Arial" w:hAnsi="Arial" w:cs="Arial" w:eastAsia="Arial"/>
                    <w:b w:val="0"/>
                    <w:i w:val="0"/>
                    <w:sz w:val="18"/>
                    <w:highlight w:val="yellow"/>
                  </w:rPr>
                  <w:t>&lt;At least 6 months&gt;</w:t>
                </w:r>
              </w:sdtContent>
            </w:sdt>
          </w:p>
        </w:tc>
      </w:tr>
      <w:tr>
        <w:trPr>
          <w:cantSplit w:val="true"/>
        </w:trPr>
        <w:tc>
          <w:tcPr>
            <w:tcW w:type="dxa" w:w="2880"/>
          </w:tcPr>
          <w:p>
            <w:pPr>
              <w:keepNext w:val="0"/>
              <w:spacing w:before="40" w:after="40" w:line="240" w:lineRule="auto"/>
            </w:pPr>
            <w:r>
              <w:rPr>
                <w:rFonts w:ascii="Arial" w:hAnsi="Arial" w:cs="Arial" w:eastAsia="Arial"/>
                <w:b w:val="0"/>
                <w:i w:val="0"/>
                <w:sz w:val="18"/>
              </w:rPr>
              <w:t>Network and security devices</w:t>
            </w:r>
          </w:p>
        </w:tc>
        <w:tc>
          <w:tcPr>
            <w:tcW w:type="dxa" w:w="4896"/>
          </w:tcPr>
          <w:p>
            <w:pPr>
              <w:keepNext w:val="0"/>
              <w:spacing w:before="40" w:after="40" w:line="240" w:lineRule="auto"/>
            </w:pPr>
            <w:sdt>
              <w:sdtPr>
                <w:alias w:val="Firewall, intrusion detection and prevention, proxy, DNS, VP"/>
                <w:tag w:val="25.t3.r3.c1"/>
              </w:sdtPr>
              <w:sdtContent>
                <w:r>
                  <w:rPr>
                    <w:rFonts w:ascii="Arial" w:hAnsi="Arial" w:cs="Arial" w:eastAsia="Arial"/>
                    <w:b w:val="0"/>
                    <w:i w:val="0"/>
                    <w:sz w:val="18"/>
                    <w:highlight w:val="yellow"/>
                  </w:rPr>
                  <w:t>&lt;Firewall, intrusion detection and prevention, proxy, DNS, VPN events&gt;</w:t>
                </w:r>
              </w:sdtContent>
            </w:sdt>
          </w:p>
        </w:tc>
        <w:tc>
          <w:tcPr>
            <w:tcW w:type="dxa" w:w="1440"/>
          </w:tcPr>
          <w:p>
            <w:pPr>
              <w:keepNext w:val="0"/>
              <w:spacing w:before="40" w:after="40" w:line="240" w:lineRule="auto"/>
            </w:pPr>
            <w:sdt>
              <w:sdtPr>
                <w:alias w:val="At least 12 months"/>
                <w:tag w:val="25.t3.r3.c2"/>
              </w:sdtPr>
              <w:sdtContent>
                <w:r>
                  <w:rPr>
                    <w:rFonts w:ascii="Arial" w:hAnsi="Arial" w:cs="Arial" w:eastAsia="Arial"/>
                    <w:b w:val="0"/>
                    <w:i w:val="0"/>
                    <w:sz w:val="18"/>
                    <w:highlight w:val="yellow"/>
                  </w:rPr>
                  <w:t>&lt;At least 12 months&gt;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Detection use cases</w:t>
      </w:r>
    </w:p>
    <w:p>
      <w:pPr>
        <w:keepNext w:val="0"/>
        <w:spacing w:before="0" w:after="120" w:line="276" w:lineRule="auto"/>
      </w:pPr>
      <w:r>
        <w:rPr>
          <w:rFonts w:ascii="Arial" w:hAnsi="Arial" w:cs="Arial" w:eastAsia="Arial"/>
          <w:b w:val="0"/>
          <w:i w:val="0"/>
          <w:sz w:val="21"/>
        </w:rPr>
        <w:t xml:space="preserve">The SIEM runs these use cases as a minimum. Each one has an owner, a severity and a response, and is reviewed </w:t>
      </w:r>
      <w:sdt>
        <w:sdtPr>
          <w:alias w:val="every quarter"/>
          <w:tag w:val="25.usecase_rev"/>
        </w:sdtPr>
        <w:sdtContent>
          <w:r>
            <w:rPr>
              <w:rFonts w:ascii="Arial" w:hAnsi="Arial" w:cs="Arial" w:eastAsia="Arial"/>
              <w:b w:val="0"/>
              <w:i w:val="0"/>
              <w:sz w:val="21"/>
              <w:highlight w:val="yellow"/>
            </w:rPr>
            <w:t>&lt;every quarter&gt;</w:t>
          </w:r>
        </w:sdtContent>
      </w:sdt>
      <w:r>
        <w:rPr>
          <w:rFonts w:ascii="Arial" w:hAnsi="Arial" w:cs="Arial" w:eastAsia="Arial"/>
          <w:b w:val="0"/>
          <w:i w:val="0"/>
          <w:sz w:val="21"/>
        </w:rPr>
        <w:t xml:space="preserve"> against current threats (SAMA-27).</w:t>
      </w:r>
    </w:p>
    <w:tbl>
      <w:tblPr>
        <w:tblStyle w:val="TableGrid"/>
        <w:tblW w:type="auto" w:w="0"/>
        <w:jc w:val="center"/>
        <w:tblLayout w:type="fixed"/>
        <w:tblLook w:firstColumn="1" w:firstRow="1" w:lastColumn="0" w:lastRow="0" w:noHBand="0" w:noVBand="1" w:val="04A0"/>
        <w:tblCaption w:val="list:25.usecases"/>
      </w:tblPr>
      <w:tblGrid>
        <w:gridCol w:w="2293"/>
        <w:gridCol w:w="2293"/>
        <w:gridCol w:w="2293"/>
        <w:gridCol w:w="2293"/>
      </w:tblGrid>
      <w:tr>
        <w:trPr>
          <w:tblHeader w:val="true"/>
        </w:trPr>
        <w:tc>
          <w:tcPr>
            <w:tcW w:type="dxa" w:w="2880"/>
            <w:shd w:val="clear" w:color="auto" w:fill="DCE6F5"/>
          </w:tcPr>
          <w:p>
            <w:pPr>
              <w:keepNext w:val="0"/>
              <w:spacing w:before="40" w:after="40" w:line="240" w:lineRule="auto"/>
            </w:pPr>
            <w:r>
              <w:rPr>
                <w:rFonts w:ascii="Arial" w:hAnsi="Arial" w:cs="Arial" w:eastAsia="Arial"/>
                <w:b/>
                <w:i w:val="0"/>
                <w:color w:val="1B253B"/>
                <w:sz w:val="18"/>
              </w:rPr>
              <w:t>Use case</w:t>
            </w:r>
          </w:p>
        </w:tc>
        <w:tc>
          <w:tcPr>
            <w:tcW w:type="dxa" w:w="3312"/>
            <w:shd w:val="clear" w:color="auto" w:fill="DCE6F5"/>
          </w:tcPr>
          <w:p>
            <w:pPr>
              <w:keepNext w:val="0"/>
              <w:spacing w:before="40" w:after="40" w:line="240" w:lineRule="auto"/>
            </w:pPr>
            <w:r>
              <w:rPr>
                <w:rFonts w:ascii="Arial" w:hAnsi="Arial" w:cs="Arial" w:eastAsia="Arial"/>
                <w:b/>
                <w:i w:val="0"/>
                <w:color w:val="1B253B"/>
                <w:sz w:val="18"/>
              </w:rPr>
              <w:t>What it detects</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Severity</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Response</w:t>
            </w:r>
          </w:p>
        </w:tc>
      </w:tr>
      <w:tr>
        <w:trPr>
          <w:cantSplit w:val="true"/>
        </w:trPr>
        <w:tc>
          <w:tcPr>
            <w:tcW w:type="dxa" w:w="2880"/>
          </w:tcPr>
          <w:p>
            <w:pPr>
              <w:keepNext w:val="0"/>
              <w:spacing w:before="40" w:after="40" w:line="240" w:lineRule="auto"/>
            </w:pPr>
            <w:r>
              <w:rPr>
                <w:rFonts w:ascii="Arial" w:hAnsi="Arial" w:cs="Arial" w:eastAsia="Arial"/>
                <w:b w:val="0"/>
                <w:i w:val="0"/>
                <w:sz w:val="18"/>
              </w:rPr>
              <w:t>Repeated failed sign-ins then a success</w:t>
            </w:r>
          </w:p>
        </w:tc>
        <w:tc>
          <w:tcPr>
            <w:tcW w:type="dxa" w:w="3312"/>
          </w:tcPr>
          <w:p>
            <w:pPr>
              <w:keepNext w:val="0"/>
              <w:spacing w:before="40" w:after="40" w:line="240" w:lineRule="auto"/>
            </w:pPr>
            <w:r>
              <w:rPr>
                <w:rFonts w:ascii="Arial" w:hAnsi="Arial" w:cs="Arial" w:eastAsia="Arial"/>
                <w:b w:val="0"/>
                <w:i w:val="0"/>
                <w:sz w:val="18"/>
              </w:rPr>
              <w:t>Password guessing or stolen credentials</w:t>
            </w:r>
          </w:p>
        </w:tc>
        <w:tc>
          <w:tcPr>
            <w:tcW w:type="dxa" w:w="1152"/>
          </w:tcPr>
          <w:p>
            <w:pPr>
              <w:keepNext w:val="0"/>
              <w:spacing w:before="40" w:after="40" w:line="240" w:lineRule="auto"/>
            </w:pPr>
            <w:r>
              <w:rPr>
                <w:rFonts w:ascii="Arial" w:hAnsi="Arial" w:cs="Arial" w:eastAsia="Arial"/>
                <w:b w:val="0"/>
                <w:i w:val="0"/>
                <w:sz w:val="18"/>
                <w:highlight w:val="yellow"/>
              </w:rPr>
              <w:t>&lt;Severity&gt;</w:t>
            </w:r>
          </w:p>
        </w:tc>
        <w:tc>
          <w:tcPr>
            <w:tcW w:type="dxa" w:w="1872"/>
          </w:tcPr>
          <w:p>
            <w:pPr>
              <w:keepNext w:val="0"/>
              <w:spacing w:before="40" w:after="40" w:line="240" w:lineRule="auto"/>
            </w:pPr>
            <w:r>
              <w:rPr>
                <w:rFonts w:ascii="Arial" w:hAnsi="Arial" w:cs="Arial" w:eastAsia="Arial"/>
                <w:b w:val="0"/>
                <w:i w:val="0"/>
                <w:sz w:val="18"/>
                <w:highlight w:val="yellow"/>
              </w:rPr>
              <w:t>&lt;Response&gt;</w:t>
            </w:r>
          </w:p>
        </w:tc>
      </w:tr>
      <w:tr>
        <w:trPr>
          <w:cantSplit w:val="true"/>
        </w:trPr>
        <w:tc>
          <w:tcPr>
            <w:tcW w:type="dxa" w:w="2880"/>
          </w:tcPr>
          <w:p>
            <w:pPr>
              <w:keepNext w:val="0"/>
              <w:spacing w:before="40" w:after="40" w:line="240" w:lineRule="auto"/>
            </w:pPr>
            <w:r>
              <w:rPr>
                <w:rFonts w:ascii="Arial" w:hAnsi="Arial" w:cs="Arial" w:eastAsia="Arial"/>
                <w:b w:val="0"/>
                <w:i w:val="0"/>
                <w:sz w:val="18"/>
              </w:rPr>
              <w:t>Privileged account used outside normal hours</w:t>
            </w:r>
          </w:p>
        </w:tc>
        <w:tc>
          <w:tcPr>
            <w:tcW w:type="dxa" w:w="3312"/>
          </w:tcPr>
          <w:p>
            <w:pPr>
              <w:keepNext w:val="0"/>
              <w:spacing w:before="40" w:after="40" w:line="240" w:lineRule="auto"/>
            </w:pPr>
            <w:r>
              <w:rPr>
                <w:rFonts w:ascii="Arial" w:hAnsi="Arial" w:cs="Arial" w:eastAsia="Arial"/>
                <w:b w:val="0"/>
                <w:i w:val="0"/>
                <w:sz w:val="18"/>
              </w:rPr>
              <w:t>Misuse or takeover of an administrator account</w:t>
            </w:r>
          </w:p>
        </w:tc>
        <w:tc>
          <w:tcPr>
            <w:tcW w:type="dxa" w:w="1152"/>
          </w:tcPr>
          <w:p>
            <w:pPr>
              <w:keepNext w:val="0"/>
              <w:spacing w:before="40" w:after="40" w:line="240" w:lineRule="auto"/>
            </w:pPr>
            <w:r>
              <w:rPr>
                <w:rFonts w:ascii="Arial" w:hAnsi="Arial" w:cs="Arial" w:eastAsia="Arial"/>
                <w:b w:val="0"/>
                <w:i w:val="0"/>
                <w:sz w:val="18"/>
                <w:highlight w:val="yellow"/>
              </w:rPr>
              <w:t>&lt;Severity&gt;</w:t>
            </w:r>
          </w:p>
        </w:tc>
        <w:tc>
          <w:tcPr>
            <w:tcW w:type="dxa" w:w="1872"/>
          </w:tcPr>
          <w:p>
            <w:pPr>
              <w:keepNext w:val="0"/>
              <w:spacing w:before="40" w:after="40" w:line="240" w:lineRule="auto"/>
            </w:pPr>
            <w:r>
              <w:rPr>
                <w:rFonts w:ascii="Arial" w:hAnsi="Arial" w:cs="Arial" w:eastAsia="Arial"/>
                <w:b w:val="0"/>
                <w:i w:val="0"/>
                <w:sz w:val="18"/>
                <w:highlight w:val="yellow"/>
              </w:rPr>
              <w:t>&lt;Response&gt;</w:t>
            </w:r>
          </w:p>
        </w:tc>
      </w:tr>
      <w:tr>
        <w:trPr>
          <w:cantSplit w:val="true"/>
        </w:trPr>
        <w:tc>
          <w:tcPr>
            <w:tcW w:type="dxa" w:w="2880"/>
          </w:tcPr>
          <w:p>
            <w:pPr>
              <w:keepNext w:val="0"/>
              <w:spacing w:before="40" w:after="40" w:line="240" w:lineRule="auto"/>
            </w:pPr>
            <w:r>
              <w:rPr>
                <w:rFonts w:ascii="Arial" w:hAnsi="Arial" w:cs="Arial" w:eastAsia="Arial"/>
                <w:b w:val="0"/>
                <w:i w:val="0"/>
                <w:sz w:val="18"/>
              </w:rPr>
              <w:t>Large data export or transfer</w:t>
            </w:r>
          </w:p>
        </w:tc>
        <w:tc>
          <w:tcPr>
            <w:tcW w:type="dxa" w:w="3312"/>
          </w:tcPr>
          <w:p>
            <w:pPr>
              <w:keepNext w:val="0"/>
              <w:spacing w:before="40" w:after="40" w:line="240" w:lineRule="auto"/>
            </w:pPr>
            <w:r>
              <w:rPr>
                <w:rFonts w:ascii="Arial" w:hAnsi="Arial" w:cs="Arial" w:eastAsia="Arial"/>
                <w:b w:val="0"/>
                <w:i w:val="0"/>
                <w:sz w:val="18"/>
              </w:rPr>
              <w:t>Data theft</w:t>
            </w:r>
          </w:p>
        </w:tc>
        <w:tc>
          <w:tcPr>
            <w:tcW w:type="dxa" w:w="1152"/>
          </w:tcPr>
          <w:p>
            <w:pPr>
              <w:keepNext w:val="0"/>
              <w:spacing w:before="40" w:after="40" w:line="240" w:lineRule="auto"/>
            </w:pPr>
            <w:r>
              <w:rPr>
                <w:rFonts w:ascii="Arial" w:hAnsi="Arial" w:cs="Arial" w:eastAsia="Arial"/>
                <w:b w:val="0"/>
                <w:i w:val="0"/>
                <w:sz w:val="18"/>
                <w:highlight w:val="yellow"/>
              </w:rPr>
              <w:t>&lt;Severity&gt;</w:t>
            </w:r>
          </w:p>
        </w:tc>
        <w:tc>
          <w:tcPr>
            <w:tcW w:type="dxa" w:w="1872"/>
          </w:tcPr>
          <w:p>
            <w:pPr>
              <w:keepNext w:val="0"/>
              <w:spacing w:before="40" w:after="40" w:line="240" w:lineRule="auto"/>
            </w:pPr>
            <w:r>
              <w:rPr>
                <w:rFonts w:ascii="Arial" w:hAnsi="Arial" w:cs="Arial" w:eastAsia="Arial"/>
                <w:b w:val="0"/>
                <w:i w:val="0"/>
                <w:sz w:val="18"/>
                <w:highlight w:val="yellow"/>
              </w:rPr>
              <w:t>&lt;Response&gt;</w:t>
            </w:r>
          </w:p>
        </w:tc>
      </w:tr>
      <w:tr>
        <w:trPr>
          <w:cantSplit w:val="true"/>
        </w:trPr>
        <w:tc>
          <w:tcPr>
            <w:tcW w:type="dxa" w:w="2880"/>
          </w:tcPr>
          <w:p>
            <w:pPr>
              <w:keepNext w:val="0"/>
              <w:spacing w:before="40" w:after="40" w:line="240" w:lineRule="auto"/>
            </w:pPr>
            <w:r>
              <w:rPr>
                <w:rFonts w:ascii="Arial" w:hAnsi="Arial" w:cs="Arial" w:eastAsia="Arial"/>
                <w:b w:val="0"/>
                <w:i w:val="0"/>
                <w:sz w:val="18"/>
              </w:rPr>
              <w:t>Malware or ransomware behaviour on an endpoint</w:t>
            </w:r>
          </w:p>
        </w:tc>
        <w:tc>
          <w:tcPr>
            <w:tcW w:type="dxa" w:w="3312"/>
          </w:tcPr>
          <w:p>
            <w:pPr>
              <w:keepNext w:val="0"/>
              <w:spacing w:before="40" w:after="40" w:line="240" w:lineRule="auto"/>
            </w:pPr>
            <w:r>
              <w:rPr>
                <w:rFonts w:ascii="Arial" w:hAnsi="Arial" w:cs="Arial" w:eastAsia="Arial"/>
                <w:b w:val="0"/>
                <w:i w:val="0"/>
                <w:sz w:val="18"/>
              </w:rPr>
              <w:t>Infection or encryption of files</w:t>
            </w:r>
          </w:p>
        </w:tc>
        <w:tc>
          <w:tcPr>
            <w:tcW w:type="dxa" w:w="1152"/>
          </w:tcPr>
          <w:p>
            <w:pPr>
              <w:keepNext w:val="0"/>
              <w:spacing w:before="40" w:after="40" w:line="240" w:lineRule="auto"/>
            </w:pPr>
            <w:r>
              <w:rPr>
                <w:rFonts w:ascii="Arial" w:hAnsi="Arial" w:cs="Arial" w:eastAsia="Arial"/>
                <w:b w:val="0"/>
                <w:i w:val="0"/>
                <w:sz w:val="18"/>
                <w:highlight w:val="yellow"/>
              </w:rPr>
              <w:t>&lt;Severity&gt;</w:t>
            </w:r>
          </w:p>
        </w:tc>
        <w:tc>
          <w:tcPr>
            <w:tcW w:type="dxa" w:w="1872"/>
          </w:tcPr>
          <w:p>
            <w:pPr>
              <w:keepNext w:val="0"/>
              <w:spacing w:before="40" w:after="40" w:line="240" w:lineRule="auto"/>
            </w:pPr>
            <w:r>
              <w:rPr>
                <w:rFonts w:ascii="Arial" w:hAnsi="Arial" w:cs="Arial" w:eastAsia="Arial"/>
                <w:b w:val="0"/>
                <w:i w:val="0"/>
                <w:sz w:val="18"/>
                <w:highlight w:val="yellow"/>
              </w:rPr>
              <w:t>&lt;Response&gt;</w:t>
            </w:r>
          </w:p>
        </w:tc>
      </w:tr>
      <w:tr>
        <w:trPr>
          <w:cantSplit w:val="true"/>
        </w:trPr>
        <w:tc>
          <w:tcPr>
            <w:tcW w:type="dxa" w:w="2880"/>
          </w:tcPr>
          <w:p>
            <w:pPr>
              <w:keepNext w:val="0"/>
              <w:spacing w:before="40" w:after="40" w:line="240" w:lineRule="auto"/>
            </w:pPr>
            <w:r>
              <w:rPr>
                <w:rFonts w:ascii="Arial" w:hAnsi="Arial" w:cs="Arial" w:eastAsia="Arial"/>
                <w:b w:val="0"/>
                <w:i w:val="0"/>
                <w:sz w:val="18"/>
                <w:highlight w:val="yellow"/>
              </w:rPr>
              <w:t>&lt;Another use case&gt;</w:t>
            </w:r>
          </w:p>
        </w:tc>
        <w:tc>
          <w:tcPr>
            <w:tcW w:type="dxa" w:w="3312"/>
          </w:tcPr>
          <w:p>
            <w:pPr>
              <w:keepNext w:val="0"/>
              <w:spacing w:before="40" w:after="40" w:line="240" w:lineRule="auto"/>
            </w:pPr>
            <w:r>
              <w:rPr>
                <w:rFonts w:ascii="Arial" w:hAnsi="Arial" w:cs="Arial" w:eastAsia="Arial"/>
                <w:b w:val="0"/>
                <w:i w:val="0"/>
                <w:sz w:val="18"/>
                <w:highlight w:val="yellow"/>
              </w:rPr>
              <w:t>&lt;What it detects&gt;</w:t>
            </w:r>
          </w:p>
        </w:tc>
        <w:tc>
          <w:tcPr>
            <w:tcW w:type="dxa" w:w="1152"/>
          </w:tcPr>
          <w:p>
            <w:pPr>
              <w:keepNext w:val="0"/>
              <w:spacing w:before="40" w:after="40" w:line="240" w:lineRule="auto"/>
            </w:pPr>
            <w:r>
              <w:rPr>
                <w:rFonts w:ascii="Arial" w:hAnsi="Arial" w:cs="Arial" w:eastAsia="Arial"/>
                <w:b w:val="0"/>
                <w:i w:val="0"/>
                <w:sz w:val="18"/>
                <w:highlight w:val="yellow"/>
              </w:rPr>
              <w:t>&lt;Severity&gt;</w:t>
            </w:r>
          </w:p>
        </w:tc>
        <w:tc>
          <w:tcPr>
            <w:tcW w:type="dxa" w:w="1872"/>
          </w:tcPr>
          <w:p>
            <w:pPr>
              <w:keepNext w:val="0"/>
              <w:spacing w:before="40" w:after="40" w:line="240" w:lineRule="auto"/>
            </w:pPr>
            <w:r>
              <w:rPr>
                <w:rFonts w:ascii="Arial" w:hAnsi="Arial" w:cs="Arial" w:eastAsia="Arial"/>
                <w:b w:val="0"/>
                <w:i w:val="0"/>
                <w:sz w:val="18"/>
                <w:highlight w:val="yellow"/>
              </w:rPr>
              <w:t>&lt;Response&gt;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Handling an event</w:t>
      </w:r>
    </w:p>
    <w:p>
      <w:pPr>
        <w:keepNext w:val="0"/>
        <w:spacing w:before="0" w:after="60" w:line="276" w:lineRule="auto"/>
        <w:ind w:left="504" w:hanging="403"/>
      </w:pPr>
      <w:r>
        <w:rPr>
          <w:rFonts w:ascii="Arial" w:hAnsi="Arial" w:cs="Arial" w:eastAsia="Arial"/>
          <w:b w:val="0"/>
          <w:i w:val="0"/>
          <w:sz w:val="21"/>
        </w:rPr>
        <w:t>1.  An alert or report arrives and is logged as an event.</w:t>
      </w:r>
    </w:p>
    <w:p>
      <w:pPr>
        <w:keepNext w:val="0"/>
        <w:spacing w:before="0" w:after="60" w:line="276" w:lineRule="auto"/>
        <w:ind w:left="504" w:hanging="403"/>
      </w:pPr>
      <w:r>
        <w:rPr>
          <w:rFonts w:ascii="Arial" w:hAnsi="Arial" w:cs="Arial" w:eastAsia="Arial"/>
          <w:b w:val="0"/>
          <w:i w:val="0"/>
          <w:sz w:val="21"/>
        </w:rPr>
        <w:t>2.  The SOC analyses it: is it real, how serious, which assets?</w:t>
      </w:r>
    </w:p>
    <w:p>
      <w:pPr>
        <w:keepNext w:val="0"/>
        <w:spacing w:before="0" w:after="60" w:line="276" w:lineRule="auto"/>
        <w:ind w:left="504" w:hanging="403"/>
      </w:pPr>
      <w:r>
        <w:rPr>
          <w:rFonts w:ascii="Arial" w:hAnsi="Arial" w:cs="Arial" w:eastAsia="Arial"/>
          <w:b w:val="0"/>
          <w:i w:val="0"/>
          <w:sz w:val="21"/>
        </w:rPr>
        <w:t>3.  A false alarm is closed with a note. A real one goes to incident management (SAMA-26).</w:t>
      </w:r>
    </w:p>
    <w:p>
      <w:pPr>
        <w:keepNext w:val="0"/>
        <w:spacing w:before="0" w:after="60" w:line="276" w:lineRule="auto"/>
        <w:ind w:left="504" w:hanging="403"/>
      </w:pPr>
      <w:r>
        <w:rPr>
          <w:rFonts w:ascii="Arial" w:hAnsi="Arial" w:cs="Arial" w:eastAsia="Arial"/>
          <w:b w:val="0"/>
          <w:i w:val="0"/>
          <w:sz w:val="21"/>
        </w:rPr>
        <w:t>4.  The SOC records what was done and tunes the detection to improve it.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Testing the SOC</w:t>
      </w:r>
    </w:p>
    <w:p>
      <w:pPr>
        <w:keepNext w:val="0"/>
        <w:spacing w:before="0" w:after="120" w:line="276" w:lineRule="auto"/>
      </w:pPr>
      <w:r>
        <w:rPr>
          <w:rFonts w:ascii="Arial" w:hAnsi="Arial" w:cs="Arial" w:eastAsia="Arial"/>
          <w:b w:val="0"/>
          <w:i w:val="0"/>
          <w:sz w:val="21"/>
        </w:rPr>
        <w:t xml:space="preserve">The effectiveness of the SOC is tested independently and periodically, for example by red teaming, at least </w:t>
      </w:r>
      <w:sdt>
        <w:sdtPr>
          <w:alias w:val="every year"/>
          <w:tag w:val="25.redteam"/>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The results go to the CISO and the committee.</w:t>
      </w:r>
    </w:p>
    <w:p>
      <w:pPr>
        <w:keepNext/>
        <w:spacing w:before="280" w:after="120" w:line="264" w:lineRule="auto"/>
      </w:pPr>
      <w:r>
        <w:rPr>
          <w:rFonts w:ascii="Arial" w:hAnsi="Arial" w:cs="Arial" w:eastAsia="Arial"/>
          <w:b/>
          <w:i w:val="0"/>
          <w:color w:val="1B253B"/>
          <w:sz w:val="28"/>
        </w:rPr>
        <w:t>9.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5.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Critical assets sending logs to the SIEM</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SOC tested independently this year</w:t>
            </w:r>
          </w:p>
        </w:tc>
        <w:tc>
          <w:tcPr>
            <w:tcW w:type="dxa" w:w="2592"/>
          </w:tcPr>
          <w:p>
            <w:pPr>
              <w:keepNext w:val="0"/>
              <w:spacing w:before="40" w:after="40" w:line="240" w:lineRule="auto"/>
            </w:pPr>
            <w:r>
              <w:rPr>
                <w:rFonts w:ascii="Arial" w:hAnsi="Arial" w:cs="Arial" w:eastAsia="Arial"/>
                <w:b w:val="0"/>
                <w:i w:val="0"/>
                <w:sz w:val="18"/>
              </w:rPr>
              <w:t>Yes</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11.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12.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3.3.14.1</w:t>
            </w:r>
          </w:p>
        </w:tc>
        <w:tc>
          <w:tcPr>
            <w:tcW w:type="dxa" w:w="7920"/>
          </w:tcPr>
          <w:p>
            <w:pPr>
              <w:keepNext w:val="0"/>
              <w:spacing w:before="40" w:after="40" w:line="240" w:lineRule="auto"/>
            </w:pPr>
            <w:r>
              <w:rPr>
                <w:rFonts w:ascii="Arial" w:hAnsi="Arial" w:cs="Arial" w:eastAsia="Arial"/>
                <w:b w:val="0"/>
                <w:i w:val="0"/>
                <w:sz w:val="18"/>
              </w:rPr>
              <w:t>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3.3.14.2</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3.3.14.3</w:t>
            </w:r>
          </w:p>
        </w:tc>
        <w:tc>
          <w:tcPr>
            <w:tcW w:type="dxa" w:w="7920"/>
          </w:tcPr>
          <w:p>
            <w:pPr>
              <w:keepNext w:val="0"/>
              <w:spacing w:before="40" w:after="40" w:line="240" w:lineRule="auto"/>
            </w:pPr>
            <w:r>
              <w:rPr>
                <w:rFonts w:ascii="Arial" w:hAnsi="Arial" w:cs="Arial" w:eastAsia="Arial"/>
                <w:b w:val="0"/>
                <w:i w:val="0"/>
                <w:sz w:val="18"/>
              </w:rPr>
              <w:t>A security event monitoring standard based on classification or risk</w:t>
            </w:r>
          </w:p>
        </w:tc>
      </w:tr>
      <w:tr>
        <w:trPr>
          <w:cantSplit w:val="true"/>
        </w:trPr>
        <w:tc>
          <w:tcPr>
            <w:tcW w:type="dxa" w:w="1296"/>
          </w:tcPr>
          <w:p>
            <w:pPr>
              <w:keepNext w:val="0"/>
              <w:spacing w:before="40" w:after="40" w:line="240" w:lineRule="auto"/>
            </w:pPr>
            <w:r>
              <w:rPr>
                <w:rFonts w:ascii="Arial" w:hAnsi="Arial" w:cs="Arial" w:eastAsia="Arial"/>
                <w:b w:val="0"/>
                <w:i w:val="0"/>
                <w:sz w:val="18"/>
              </w:rPr>
              <w:t>3.3.14.4</w:t>
            </w:r>
          </w:p>
        </w:tc>
        <w:tc>
          <w:tcPr>
            <w:tcW w:type="dxa" w:w="7920"/>
          </w:tcPr>
          <w:p>
            <w:pPr>
              <w:keepNext w:val="0"/>
              <w:spacing w:before="40" w:after="40" w:line="240" w:lineRule="auto"/>
            </w:pPr>
            <w:r>
              <w:rPr>
                <w:rFonts w:ascii="Arial" w:hAnsi="Arial" w:cs="Arial" w:eastAsia="Arial"/>
                <w:b w:val="0"/>
                <w:i w:val="0"/>
                <w:sz w:val="18"/>
              </w:rPr>
              <w:t>SOC, 24x7, trained staff, restricted area, malicious code, anomalies, packet analysis, protected logs, SIEM, reporting, independent testing</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Event Management and Monitoring</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Event Management and Monitoring</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