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Incident Management</w:t>
      </w:r>
    </w:p>
    <w:p>
      <w:pPr>
        <w:keepNext w:val="0"/>
        <w:spacing w:before="0" w:after="200" w:line="240" w:lineRule="auto"/>
      </w:pPr>
      <w:r>
        <w:rPr>
          <w:rFonts w:ascii="Arial" w:hAnsi="Arial" w:cs="Arial" w:eastAsia="Arial"/>
          <w:b w:val="0"/>
          <w:i w:val="0"/>
          <w:color w:val="5B6678"/>
          <w:sz w:val="21"/>
        </w:rPr>
        <w:t>How incidents are classified, handled, reported to SAMA and learned from.</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SAMA-26</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process identifies, responds to and recovers from cyber security incidents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xml:space="preserve"> in time, to reduce their impact on the business. It is aligned with the organisation's enterprise incident management process.</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Every cyber security incident affecting the organisation's information assets, including at third parties.</w:t>
      </w:r>
    </w:p>
    <w:p>
      <w:pPr>
        <w:keepNext/>
        <w:spacing w:before="280" w:after="120" w:line="264" w:lineRule="auto"/>
      </w:pPr>
      <w:r>
        <w:rPr>
          <w:rFonts w:ascii="Arial" w:hAnsi="Arial" w:cs="Arial" w:eastAsia="Arial"/>
          <w:b/>
          <w:i w:val="0"/>
          <w:color w:val="1B253B"/>
          <w:sz w:val="28"/>
        </w:rPr>
        <w:t>3. The incident response team</w:t>
      </w:r>
    </w:p>
    <w:p>
      <w:pPr>
        <w:pStyle w:val="ListBullet"/>
        <w:keepNext w:val="0"/>
        <w:spacing w:before="0" w:after="60" w:line="276" w:lineRule="auto"/>
        <w:ind w:left="432" w:hanging="288"/>
      </w:pPr>
      <w:r>
        <w:rPr>
          <w:rFonts w:ascii="Arial" w:hAnsi="Arial" w:cs="Arial" w:eastAsia="Arial"/>
          <w:b w:val="0"/>
          <w:i w:val="0"/>
          <w:sz w:val="21"/>
        </w:rPr>
        <w:t xml:space="preserve">A designated incident management team, the computer emergency response team (CERT), led by </w:t>
      </w:r>
      <w:sdt>
        <w:sdtPr>
          <w:alias w:val="the head of security operations"/>
          <w:tag w:val="26.lead"/>
        </w:sdtPr>
        <w:sdtContent>
          <w:r>
            <w:rPr>
              <w:rFonts w:ascii="Arial" w:hAnsi="Arial" w:cs="Arial" w:eastAsia="Arial"/>
              <w:b w:val="0"/>
              <w:i w:val="0"/>
              <w:sz w:val="21"/>
              <w:highlight w:val="yellow"/>
            </w:rPr>
            <w:t>&lt;the head of security operations&gt;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Skilled, continuously trained staff (SAMA-07).</w:t>
      </w:r>
    </w:p>
    <w:p>
      <w:pPr>
        <w:pStyle w:val="ListBullet"/>
        <w:keepNext w:val="0"/>
        <w:spacing w:before="0" w:after="60" w:line="276" w:lineRule="auto"/>
        <w:ind w:left="432" w:hanging="288"/>
      </w:pPr>
      <w:r>
        <w:rPr>
          <w:rFonts w:ascii="Arial" w:hAnsi="Arial" w:cs="Arial" w:eastAsia="Arial"/>
          <w:b w:val="0"/>
          <w:i w:val="0"/>
          <w:sz w:val="21"/>
        </w:rPr>
        <w:t xml:space="preserve">Enough certified forensic capacity for major incidents, in-house or contracted: </w:t>
      </w:r>
      <w:sdt>
        <w:sdtPr>
          <w:alias w:val="the provider and how to call them"/>
          <w:tag w:val="26.forensics"/>
        </w:sdtPr>
        <w:sdtContent>
          <w:r>
            <w:rPr>
              <w:rFonts w:ascii="Arial" w:hAnsi="Arial" w:cs="Arial" w:eastAsia="Arial"/>
              <w:b w:val="0"/>
              <w:i w:val="0"/>
              <w:sz w:val="21"/>
              <w:highlight w:val="yellow"/>
            </w:rPr>
            <w:t>&lt;the provider and how to call them&gt;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A restricted area for CERT work.</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Events that must be responded to</w:t>
      </w:r>
    </w:p>
    <w:p>
      <w:pPr>
        <w:keepNext w:val="0"/>
        <w:spacing w:before="0" w:after="120" w:line="276" w:lineRule="auto"/>
      </w:pPr>
      <w:r>
        <w:rPr>
          <w:rFonts w:ascii="Arial" w:hAnsi="Arial" w:cs="Arial" w:eastAsia="Arial"/>
          <w:b w:val="0"/>
          <w:i w:val="0"/>
          <w:sz w:val="21"/>
        </w:rPr>
        <w:t xml:space="preserve">Mandatory events, which are always responded to: </w:t>
      </w:r>
      <w:sdt>
        <w:sdtPr>
          <w:alias w:val="malware outbreak, data breach, successful intrusion, ransomw"/>
          <w:tag w:val="26.mandatory"/>
        </w:sdtPr>
        <w:sdtContent>
          <w:r>
            <w:rPr>
              <w:rFonts w:ascii="Arial" w:hAnsi="Arial" w:cs="Arial" w:eastAsia="Arial"/>
              <w:b w:val="0"/>
              <w:i w:val="0"/>
              <w:sz w:val="21"/>
              <w:highlight w:val="yellow"/>
            </w:rPr>
            <w:t>&lt;malware outbreak, data breach, successful intrusion, ransomware, denial of service affecting services, fraud involving systems, loss of a device with sensitive data&gt;</w:t>
          </w:r>
        </w:sdtContent>
      </w:sdt>
      <w:r>
        <w:rPr>
          <w:rFonts w:ascii="Arial" w:hAnsi="Arial" w:cs="Arial" w:eastAsia="Arial"/>
          <w:b w:val="0"/>
          <w:i w:val="0"/>
          <w:sz w:val="21"/>
        </w:rPr>
        <w:t>. Suspicious events are analysed first and become incidents when confirmed (SAMA-25).</w:t>
      </w:r>
    </w:p>
    <w:p>
      <w:pPr>
        <w:keepNext/>
        <w:spacing w:before="280" w:after="120" w:line="264" w:lineRule="auto"/>
      </w:pPr>
      <w:r>
        <w:rPr>
          <w:rFonts w:ascii="Arial" w:hAnsi="Arial" w:cs="Arial" w:eastAsia="Arial"/>
          <w:b/>
          <w:i w:val="0"/>
          <w:color w:val="1B253B"/>
          <w:sz w:val="28"/>
        </w:rPr>
        <w:t>5. Classifying an incident</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Class</w:t>
            </w:r>
          </w:p>
        </w:tc>
        <w:tc>
          <w:tcPr>
            <w:tcW w:type="dxa" w:w="3600"/>
            <w:shd w:val="clear" w:color="auto" w:fill="DCE6F5"/>
          </w:tcPr>
          <w:p>
            <w:pPr>
              <w:keepNext w:val="0"/>
              <w:spacing w:before="40" w:after="40" w:line="240" w:lineRule="auto"/>
            </w:pPr>
            <w:r>
              <w:rPr>
                <w:rFonts w:ascii="Arial" w:hAnsi="Arial" w:cs="Arial" w:eastAsia="Arial"/>
                <w:b/>
                <w:i w:val="0"/>
                <w:color w:val="1B253B"/>
                <w:sz w:val="18"/>
              </w:rPr>
              <w:t>Meaning</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Contain within</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Who is told</w:t>
            </w:r>
          </w:p>
        </w:tc>
      </w:tr>
      <w:tr>
        <w:trPr>
          <w:cantSplit w:val="true"/>
        </w:trPr>
        <w:tc>
          <w:tcPr>
            <w:tcW w:type="dxa" w:w="1296"/>
          </w:tcPr>
          <w:p>
            <w:pPr>
              <w:keepNext w:val="0"/>
              <w:spacing w:before="40" w:after="40" w:line="240" w:lineRule="auto"/>
            </w:pPr>
            <w:r>
              <w:rPr>
                <w:rFonts w:ascii="Arial" w:hAnsi="Arial" w:cs="Arial" w:eastAsia="Arial"/>
                <w:b w:val="0"/>
                <w:i w:val="0"/>
                <w:sz w:val="18"/>
              </w:rPr>
              <w:t>High</w:t>
            </w:r>
          </w:p>
        </w:tc>
        <w:tc>
          <w:tcPr>
            <w:tcW w:type="dxa" w:w="3600"/>
          </w:tcPr>
          <w:p>
            <w:pPr>
              <w:keepNext w:val="0"/>
              <w:spacing w:before="40" w:after="40" w:line="240" w:lineRule="auto"/>
            </w:pPr>
            <w:r>
              <w:rPr>
                <w:rFonts w:ascii="Arial" w:hAnsi="Arial" w:cs="Arial" w:eastAsia="Arial"/>
                <w:b w:val="0"/>
                <w:i w:val="0"/>
                <w:sz w:val="18"/>
              </w:rPr>
              <w:t>Serious harm to customers, critical services or regulatory standing</w:t>
            </w:r>
          </w:p>
        </w:tc>
        <w:tc>
          <w:tcPr>
            <w:tcW w:type="dxa" w:w="1728"/>
          </w:tcPr>
          <w:p>
            <w:pPr>
              <w:keepNext w:val="0"/>
              <w:spacing w:before="40" w:after="40" w:line="240" w:lineRule="auto"/>
            </w:pPr>
            <w:sdt>
              <w:sdtPr>
                <w:alias w:val="Contain a high incident within (hours)"/>
                <w:tag w:val="incident_high_hours"/>
              </w:sdtPr>
              <w:sdtContent>
                <w:r>
                  <w:rPr>
                    <w:rFonts w:ascii="Arial" w:hAnsi="Arial" w:cs="Arial" w:eastAsia="Arial"/>
                    <w:b w:val="0"/>
                    <w:i w:val="0"/>
                    <w:sz w:val="18"/>
                    <w:highlight w:val="yellow"/>
                  </w:rPr>
                  <w:t>&lt;4&gt;</w:t>
                </w:r>
              </w:sdtContent>
            </w:sdt>
            <w:r>
              <w:rPr>
                <w:rFonts w:ascii="Arial" w:hAnsi="Arial" w:cs="Arial" w:eastAsia="Arial"/>
                <w:b w:val="0"/>
                <w:i w:val="0"/>
                <w:sz w:val="18"/>
              </w:rPr>
              <w:t xml:space="preserve"> hours</w:t>
            </w:r>
          </w:p>
        </w:tc>
        <w:tc>
          <w:tcPr>
            <w:tcW w:type="dxa" w:w="2592"/>
          </w:tcPr>
          <w:p>
            <w:pPr>
              <w:keepNext w:val="0"/>
              <w:spacing w:before="40" w:after="40" w:line="240" w:lineRule="auto"/>
            </w:pPr>
            <w:r>
              <w:rPr>
                <w:rFonts w:ascii="Arial" w:hAnsi="Arial" w:cs="Arial" w:eastAsia="Arial"/>
                <w:b w:val="0"/>
                <w:i w:val="0"/>
                <w:sz w:val="18"/>
              </w:rPr>
              <w:t>CISO, CEO and the committee chair at once. SAMA immediately.</w:t>
            </w:r>
          </w:p>
        </w:tc>
      </w:tr>
      <w:tr>
        <w:trPr>
          <w:cantSplit w:val="true"/>
        </w:trPr>
        <w:tc>
          <w:tcPr>
            <w:tcW w:type="dxa" w:w="1296"/>
          </w:tcPr>
          <w:p>
            <w:pPr>
              <w:keepNext w:val="0"/>
              <w:spacing w:before="40" w:after="40" w:line="240" w:lineRule="auto"/>
            </w:pPr>
            <w:r>
              <w:rPr>
                <w:rFonts w:ascii="Arial" w:hAnsi="Arial" w:cs="Arial" w:eastAsia="Arial"/>
                <w:b w:val="0"/>
                <w:i w:val="0"/>
                <w:sz w:val="18"/>
              </w:rPr>
              <w:t>Medium</w:t>
            </w:r>
          </w:p>
        </w:tc>
        <w:tc>
          <w:tcPr>
            <w:tcW w:type="dxa" w:w="3600"/>
          </w:tcPr>
          <w:p>
            <w:pPr>
              <w:keepNext w:val="0"/>
              <w:spacing w:before="40" w:after="40" w:line="240" w:lineRule="auto"/>
            </w:pPr>
            <w:r>
              <w:rPr>
                <w:rFonts w:ascii="Arial" w:hAnsi="Arial" w:cs="Arial" w:eastAsia="Arial"/>
                <w:b w:val="0"/>
                <w:i w:val="0"/>
                <w:sz w:val="18"/>
              </w:rPr>
              <w:t>Significant harm or disruption of important services</w:t>
            </w:r>
          </w:p>
        </w:tc>
        <w:tc>
          <w:tcPr>
            <w:tcW w:type="dxa" w:w="1728"/>
          </w:tcPr>
          <w:p>
            <w:pPr>
              <w:keepNext w:val="0"/>
              <w:spacing w:before="40" w:after="40" w:line="240" w:lineRule="auto"/>
            </w:pPr>
            <w:sdt>
              <w:sdtPr>
                <w:alias w:val="Contain a medium incident within (hours)"/>
                <w:tag w:val="incident_medium_hours"/>
              </w:sdtPr>
              <w:sdtContent>
                <w:r>
                  <w:rPr>
                    <w:rFonts w:ascii="Arial" w:hAnsi="Arial" w:cs="Arial" w:eastAsia="Arial"/>
                    <w:b w:val="0"/>
                    <w:i w:val="0"/>
                    <w:sz w:val="18"/>
                    <w:highlight w:val="yellow"/>
                  </w:rPr>
                  <w:t>&lt;24&gt;</w:t>
                </w:r>
              </w:sdtContent>
            </w:sdt>
            <w:r>
              <w:rPr>
                <w:rFonts w:ascii="Arial" w:hAnsi="Arial" w:cs="Arial" w:eastAsia="Arial"/>
                <w:b w:val="0"/>
                <w:i w:val="0"/>
                <w:sz w:val="18"/>
              </w:rPr>
              <w:t xml:space="preserve"> hours</w:t>
            </w:r>
          </w:p>
        </w:tc>
        <w:tc>
          <w:tcPr>
            <w:tcW w:type="dxa" w:w="2592"/>
          </w:tcPr>
          <w:p>
            <w:pPr>
              <w:keepNext w:val="0"/>
              <w:spacing w:before="40" w:after="40" w:line="240" w:lineRule="auto"/>
            </w:pPr>
            <w:r>
              <w:rPr>
                <w:rFonts w:ascii="Arial" w:hAnsi="Arial" w:cs="Arial" w:eastAsia="Arial"/>
                <w:b w:val="0"/>
                <w:i w:val="0"/>
                <w:sz w:val="18"/>
              </w:rPr>
              <w:t>CISO and the committee chair. SAMA immediately.</w:t>
            </w:r>
          </w:p>
        </w:tc>
      </w:tr>
      <w:tr>
        <w:trPr>
          <w:cantSplit w:val="true"/>
        </w:trPr>
        <w:tc>
          <w:tcPr>
            <w:tcW w:type="dxa" w:w="1296"/>
          </w:tcPr>
          <w:p>
            <w:pPr>
              <w:keepNext w:val="0"/>
              <w:spacing w:before="40" w:after="40" w:line="240" w:lineRule="auto"/>
            </w:pPr>
            <w:r>
              <w:rPr>
                <w:rFonts w:ascii="Arial" w:hAnsi="Arial" w:cs="Arial" w:eastAsia="Arial"/>
                <w:b w:val="0"/>
                <w:i w:val="0"/>
                <w:sz w:val="18"/>
              </w:rPr>
              <w:t>Low</w:t>
            </w:r>
          </w:p>
        </w:tc>
        <w:tc>
          <w:tcPr>
            <w:tcW w:type="dxa" w:w="3600"/>
          </w:tcPr>
          <w:p>
            <w:pPr>
              <w:keepNext w:val="0"/>
              <w:spacing w:before="40" w:after="40" w:line="240" w:lineRule="auto"/>
            </w:pPr>
            <w:r>
              <w:rPr>
                <w:rFonts w:ascii="Arial" w:hAnsi="Arial" w:cs="Arial" w:eastAsia="Arial"/>
                <w:b w:val="0"/>
                <w:i w:val="0"/>
                <w:sz w:val="18"/>
              </w:rPr>
              <w:t>Limited or no harm</w:t>
            </w:r>
          </w:p>
        </w:tc>
        <w:tc>
          <w:tcPr>
            <w:tcW w:type="dxa" w:w="1728"/>
          </w:tcPr>
          <w:p>
            <w:pPr>
              <w:keepNext w:val="0"/>
              <w:spacing w:before="40" w:after="40" w:line="240" w:lineRule="auto"/>
            </w:pPr>
            <w:sdt>
              <w:sdtPr>
                <w:alias w:val="72"/>
                <w:tag w:val="26.low_hours"/>
              </w:sdtPr>
              <w:sdtContent>
                <w:r>
                  <w:rPr>
                    <w:rFonts w:ascii="Arial" w:hAnsi="Arial" w:cs="Arial" w:eastAsia="Arial"/>
                    <w:b w:val="0"/>
                    <w:i w:val="0"/>
                    <w:sz w:val="18"/>
                    <w:highlight w:val="yellow"/>
                  </w:rPr>
                  <w:t>&lt;72&gt;</w:t>
                </w:r>
              </w:sdtContent>
            </w:sdt>
            <w:r>
              <w:rPr>
                <w:rFonts w:ascii="Arial" w:hAnsi="Arial" w:cs="Arial" w:eastAsia="Arial"/>
                <w:b w:val="0"/>
                <w:i w:val="0"/>
                <w:sz w:val="18"/>
              </w:rPr>
              <w:t xml:space="preserve"> hours</w:t>
            </w:r>
          </w:p>
        </w:tc>
        <w:tc>
          <w:tcPr>
            <w:tcW w:type="dxa" w:w="2592"/>
          </w:tcPr>
          <w:p>
            <w:pPr>
              <w:keepNext w:val="0"/>
              <w:spacing w:before="40" w:after="40" w:line="240" w:lineRule="auto"/>
            </w:pPr>
            <w:r>
              <w:rPr>
                <w:rFonts w:ascii="Arial" w:hAnsi="Arial" w:cs="Arial" w:eastAsia="Arial"/>
                <w:b w:val="0"/>
                <w:i w:val="0"/>
                <w:sz w:val="18"/>
              </w:rPr>
              <w:t>CISO's team. Logged.</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Handling an incident</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Detect and report.</w:t>
      </w:r>
      <w:r>
        <w:rPr>
          <w:rFonts w:ascii="Arial" w:hAnsi="Arial" w:cs="Arial" w:eastAsia="Arial"/>
          <w:b w:val="0"/>
          <w:i w:val="0"/>
          <w:sz w:val="21"/>
        </w:rPr>
        <w:t xml:space="preserve"> Anyone who finds an incident reports it at once to </w:t>
      </w:r>
      <w:sdt>
        <w:sdtPr>
          <w:alias w:val="Where people report security incidents"/>
          <w:tag w:val="security_contact"/>
        </w:sdtPr>
        <w:sdtContent>
          <w:r>
            <w:rPr>
              <w:rFonts w:ascii="Arial" w:hAnsi="Arial" w:cs="Arial" w:eastAsia="Arial"/>
              <w:b w:val="0"/>
              <w:i w:val="0"/>
              <w:sz w:val="21"/>
              <w:highlight w:val="yellow"/>
            </w:rPr>
            <w:t>&lt;the security contact&gt;</w:t>
          </w:r>
        </w:sdtContent>
      </w:sdt>
      <w:r>
        <w:rPr>
          <w:rFonts w:ascii="Arial" w:hAnsi="Arial" w:cs="Arial" w:eastAsia="Arial"/>
          <w:b w:val="0"/>
          <w:i w:val="0"/>
          <w:sz w:val="21"/>
        </w:rPr>
        <w:t>.</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Classify.</w:t>
      </w:r>
      <w:r>
        <w:rPr>
          <w:rFonts w:ascii="Arial" w:hAnsi="Arial" w:cs="Arial" w:eastAsia="Arial"/>
          <w:b w:val="0"/>
          <w:i w:val="0"/>
          <w:sz w:val="21"/>
        </w:rPr>
        <w:t xml:space="preserve"> The CERT classifies it and starts the incident record.</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Contain and eradicate.</w:t>
      </w:r>
      <w:r>
        <w:rPr>
          <w:rFonts w:ascii="Arial" w:hAnsi="Arial" w:cs="Arial" w:eastAsia="Arial"/>
          <w:b w:val="0"/>
          <w:i w:val="0"/>
          <w:sz w:val="21"/>
        </w:rPr>
        <w:t xml:space="preserve"> Stop the spread, remove the cause.</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Recover.</w:t>
      </w:r>
      <w:r>
        <w:rPr>
          <w:rFonts w:ascii="Arial" w:hAnsi="Arial" w:cs="Arial" w:eastAsia="Arial"/>
          <w:b w:val="0"/>
          <w:i w:val="0"/>
          <w:sz w:val="21"/>
        </w:rPr>
        <w:t xml:space="preserve"> Restore services and data, and confirm they are clean.</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Handle in time.</w:t>
      </w:r>
      <w:r>
        <w:rPr>
          <w:rFonts w:ascii="Arial" w:hAnsi="Arial" w:cs="Arial" w:eastAsia="Arial"/>
          <w:b w:val="0"/>
          <w:i w:val="0"/>
          <w:sz w:val="21"/>
        </w:rPr>
        <w:t xml:space="preserve"> Progress is recorded and monitored against the times above.</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Protect evidence and logs.</w:t>
      </w:r>
      <w:r>
        <w:rPr>
          <w:rFonts w:ascii="Arial" w:hAnsi="Arial" w:cs="Arial" w:eastAsia="Arial"/>
          <w:b w:val="0"/>
          <w:i w:val="0"/>
          <w:sz w:val="21"/>
        </w:rPr>
        <w:t xml:space="preserve"> Evidence is collected and kept so that it can be relied on.</w:t>
      </w:r>
    </w:p>
    <w:p>
      <w:pPr>
        <w:keepNext w:val="0"/>
        <w:spacing w:before="0" w:after="60" w:line="276" w:lineRule="auto"/>
        <w:ind w:left="504" w:hanging="403"/>
      </w:pPr>
      <w:r>
        <w:rPr>
          <w:rFonts w:ascii="Arial" w:hAnsi="Arial" w:cs="Arial" w:eastAsia="Arial"/>
          <w:b w:val="0"/>
          <w:i w:val="0"/>
          <w:sz w:val="21"/>
        </w:rPr>
        <w:t xml:space="preserve">7.  </w:t>
      </w:r>
      <w:r>
        <w:rPr>
          <w:rFonts w:ascii="Arial" w:hAnsi="Arial" w:cs="Arial" w:eastAsia="Arial"/>
          <w:b/>
          <w:i w:val="0"/>
          <w:sz w:val="21"/>
        </w:rPr>
        <w:t>Review.</w:t>
      </w:r>
      <w:r>
        <w:rPr>
          <w:rFonts w:ascii="Arial" w:hAnsi="Arial" w:cs="Arial" w:eastAsia="Arial"/>
          <w:b w:val="0"/>
          <w:i w:val="0"/>
          <w:sz w:val="21"/>
        </w:rPr>
        <w:t xml:space="preserve"> After the incident: forensics and root-cause analysis, and a lessons-learned review.</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Telling SAMA</w:t>
      </w:r>
    </w:p>
    <w:p>
      <w:pPr>
        <w:pStyle w:val="ListBullet"/>
        <w:keepNext w:val="0"/>
        <w:spacing w:before="0" w:after="60" w:line="276" w:lineRule="auto"/>
        <w:ind w:left="432" w:hanging="288"/>
      </w:pPr>
      <w:r>
        <w:rPr>
          <w:rFonts w:ascii="Arial" w:hAnsi="Arial" w:cs="Arial" w:eastAsia="Arial"/>
          <w:b/>
          <w:i w:val="0"/>
          <w:sz w:val="21"/>
        </w:rPr>
        <w:t>Immediately</w:t>
      </w:r>
      <w:r>
        <w:rPr>
          <w:rFonts w:ascii="Arial" w:hAnsi="Arial" w:cs="Arial" w:eastAsia="Arial"/>
          <w:b w:val="0"/>
          <w:i w:val="0"/>
          <w:sz w:val="21"/>
        </w:rPr>
        <w:t xml:space="preserve"> when a medium or high incident has occurred and been identified, SAMA IT Risk Supervision is informed.</w:t>
      </w:r>
    </w:p>
    <w:p>
      <w:pPr>
        <w:pStyle w:val="ListBullet"/>
        <w:keepNext w:val="0"/>
        <w:spacing w:before="0" w:after="60" w:line="276" w:lineRule="auto"/>
        <w:ind w:left="432" w:hanging="288"/>
      </w:pPr>
      <w:r>
        <w:rPr>
          <w:rFonts w:ascii="Arial" w:hAnsi="Arial" w:cs="Arial" w:eastAsia="Arial"/>
          <w:b/>
          <w:i w:val="0"/>
          <w:sz w:val="21"/>
        </w:rPr>
        <w:t>Before</w:t>
      </w:r>
      <w:r>
        <w:rPr>
          <w:rFonts w:ascii="Arial" w:hAnsi="Arial" w:cs="Arial" w:eastAsia="Arial"/>
          <w:b w:val="0"/>
          <w:i w:val="0"/>
          <w:sz w:val="21"/>
        </w:rPr>
        <w:t xml:space="preserve"> any media interaction about the incident, the organisation obtains SAMA IT Risk Supervision's no-objection.</w:t>
      </w:r>
    </w:p>
    <w:p>
      <w:pPr>
        <w:pStyle w:val="ListBullet"/>
        <w:keepNext w:val="0"/>
        <w:spacing w:before="0" w:after="60" w:line="276" w:lineRule="auto"/>
        <w:ind w:left="432" w:hanging="288"/>
      </w:pPr>
      <w:r>
        <w:rPr>
          <w:rFonts w:ascii="Arial" w:hAnsi="Arial" w:cs="Arial" w:eastAsia="Arial"/>
          <w:b/>
          <w:i w:val="0"/>
          <w:sz w:val="21"/>
        </w:rPr>
        <w:t>After operations resume,</w:t>
      </w:r>
      <w:r>
        <w:rPr>
          <w:rFonts w:ascii="Arial" w:hAnsi="Arial" w:cs="Arial" w:eastAsia="Arial"/>
          <w:b w:val="0"/>
          <w:i w:val="0"/>
          <w:sz w:val="21"/>
        </w:rPr>
        <w:t xml:space="preserve"> a formal incident report is sent to SAMA IT Risk Supervision (below).</w:t>
      </w:r>
    </w:p>
    <w:p>
      <w:pPr>
        <w:keepNext w:val="0"/>
        <w:spacing w:before="0" w:after="40" w:line="240" w:lineRule="auto"/>
      </w:pPr>
    </w:p>
    <w:p>
      <w:pPr>
        <w:keepNext/>
        <w:spacing w:before="160" w:after="80" w:line="264" w:lineRule="auto"/>
      </w:pPr>
      <w:r>
        <w:rPr>
          <w:rFonts w:ascii="Arial" w:hAnsi="Arial" w:cs="Arial" w:eastAsia="Arial"/>
          <w:b/>
          <w:i w:val="0"/>
          <w:color w:val="1B253B"/>
          <w:sz w:val="23"/>
        </w:rPr>
        <w:t>Formal incident report to SAMA</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3744"/>
            <w:shd w:val="clear" w:color="auto" w:fill="DCE6F5"/>
          </w:tcPr>
          <w:p>
            <w:pPr>
              <w:keepNext w:val="0"/>
              <w:spacing w:before="40" w:after="40" w:line="240" w:lineRule="auto"/>
            </w:pPr>
            <w:r>
              <w:rPr>
                <w:rFonts w:ascii="Arial" w:hAnsi="Arial" w:cs="Arial" w:eastAsia="Arial"/>
                <w:b/>
                <w:i w:val="0"/>
                <w:color w:val="1B253B"/>
                <w:sz w:val="18"/>
              </w:rPr>
              <w:t>Item</w:t>
            </w:r>
          </w:p>
        </w:tc>
        <w:tc>
          <w:tcPr>
            <w:tcW w:type="dxa" w:w="5472"/>
            <w:shd w:val="clear" w:color="auto" w:fill="DCE6F5"/>
          </w:tcPr>
          <w:p>
            <w:pPr>
              <w:keepNext w:val="0"/>
              <w:spacing w:before="40" w:after="40" w:line="240" w:lineRule="auto"/>
            </w:pPr>
            <w:r>
              <w:rPr>
                <w:rFonts w:ascii="Arial" w:hAnsi="Arial" w:cs="Arial" w:eastAsia="Arial"/>
                <w:b/>
                <w:i w:val="0"/>
                <w:color w:val="1B253B"/>
                <w:sz w:val="18"/>
              </w:rPr>
              <w:t>Content</w:t>
            </w:r>
          </w:p>
        </w:tc>
      </w:tr>
      <w:tr>
        <w:trPr>
          <w:cantSplit w:val="true"/>
        </w:trPr>
        <w:tc>
          <w:tcPr>
            <w:tcW w:type="dxa" w:w="3744"/>
          </w:tcPr>
          <w:p>
            <w:pPr>
              <w:keepNext w:val="0"/>
              <w:spacing w:before="40" w:after="40" w:line="240" w:lineRule="auto"/>
            </w:pPr>
            <w:r>
              <w:rPr>
                <w:rFonts w:ascii="Arial" w:hAnsi="Arial" w:cs="Arial" w:eastAsia="Arial"/>
                <w:b w:val="0"/>
                <w:i w:val="0"/>
                <w:sz w:val="18"/>
              </w:rPr>
              <w:t>Title</w:t>
            </w:r>
          </w:p>
        </w:tc>
        <w:tc>
          <w:tcPr>
            <w:tcW w:type="dxa" w:w="5472"/>
          </w:tcPr>
          <w:p>
            <w:pPr>
              <w:keepNext w:val="0"/>
              <w:spacing w:before="40" w:after="40" w:line="240" w:lineRule="auto"/>
            </w:pPr>
            <w:sdt>
              <w:sdtPr>
                <w:alias w:val="Title"/>
                <w:tag w:val="26.t4.r0.c1"/>
              </w:sdtPr>
              <w:sdtContent>
                <w:r>
                  <w:rPr>
                    <w:rFonts w:ascii="Arial" w:hAnsi="Arial" w:cs="Arial" w:eastAsia="Arial"/>
                    <w:b w:val="0"/>
                    <w:i w:val="0"/>
                    <w:sz w:val="18"/>
                    <w:highlight w:val="yellow"/>
                  </w:rPr>
                  <w:t>&lt;Title&gt;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Classification</w:t>
            </w:r>
          </w:p>
        </w:tc>
        <w:tc>
          <w:tcPr>
            <w:tcW w:type="dxa" w:w="5472"/>
          </w:tcPr>
          <w:p>
            <w:pPr>
              <w:keepNext w:val="0"/>
              <w:spacing w:before="40" w:after="40" w:line="240" w:lineRule="auto"/>
            </w:pPr>
            <w:sdt>
              <w:sdtPr>
                <w:alias w:val="Medium or High"/>
                <w:tag w:val="26.t4.r1.c1"/>
              </w:sdtPr>
              <w:sdtContent>
                <w:r>
                  <w:rPr>
                    <w:rFonts w:ascii="Arial" w:hAnsi="Arial" w:cs="Arial" w:eastAsia="Arial"/>
                    <w:b w:val="0"/>
                    <w:i w:val="0"/>
                    <w:sz w:val="18"/>
                    <w:highlight w:val="yellow"/>
                  </w:rPr>
                  <w:t>&lt;Medium or High&gt;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When it happened, and when it was detected</w:t>
            </w:r>
          </w:p>
        </w:tc>
        <w:tc>
          <w:tcPr>
            <w:tcW w:type="dxa" w:w="5472"/>
          </w:tcPr>
          <w:p>
            <w:pPr>
              <w:keepNext w:val="0"/>
              <w:spacing w:before="40" w:after="40" w:line="240" w:lineRule="auto"/>
            </w:pPr>
            <w:sdt>
              <w:sdtPr>
                <w:alias w:val="Dates and times"/>
                <w:tag w:val="26.t4.r2.c1"/>
              </w:sdtPr>
              <w:sdtContent>
                <w:r>
                  <w:rPr>
                    <w:rFonts w:ascii="Arial" w:hAnsi="Arial" w:cs="Arial" w:eastAsia="Arial"/>
                    <w:b w:val="0"/>
                    <w:i w:val="0"/>
                    <w:sz w:val="18"/>
                    <w:highlight w:val="yellow"/>
                  </w:rPr>
                  <w:t>&lt;Dates and times&gt;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Information assets involved</w:t>
            </w:r>
          </w:p>
        </w:tc>
        <w:tc>
          <w:tcPr>
            <w:tcW w:type="dxa" w:w="5472"/>
          </w:tcPr>
          <w:p>
            <w:pPr>
              <w:keepNext w:val="0"/>
              <w:spacing w:before="40" w:after="40" w:line="240" w:lineRule="auto"/>
            </w:pPr>
            <w:sdt>
              <w:sdtPr>
                <w:alias w:val="Assets"/>
                <w:tag w:val="26.t4.r3.c1"/>
              </w:sdtPr>
              <w:sdtContent>
                <w:r>
                  <w:rPr>
                    <w:rFonts w:ascii="Arial" w:hAnsi="Arial" w:cs="Arial" w:eastAsia="Arial"/>
                    <w:b w:val="0"/>
                    <w:i w:val="0"/>
                    <w:sz w:val="18"/>
                    <w:highlight w:val="yellow"/>
                  </w:rPr>
                  <w:t>&lt;Assets&gt;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Technical details</w:t>
            </w:r>
          </w:p>
        </w:tc>
        <w:tc>
          <w:tcPr>
            <w:tcW w:type="dxa" w:w="5472"/>
          </w:tcPr>
          <w:p>
            <w:pPr>
              <w:keepNext w:val="0"/>
              <w:spacing w:before="40" w:after="40" w:line="240" w:lineRule="auto"/>
            </w:pPr>
            <w:sdt>
              <w:sdtPr>
                <w:alias w:val="Details"/>
                <w:tag w:val="26.t4.r4.c1"/>
              </w:sdtPr>
              <w:sdtContent>
                <w:r>
                  <w:rPr>
                    <w:rFonts w:ascii="Arial" w:hAnsi="Arial" w:cs="Arial" w:eastAsia="Arial"/>
                    <w:b w:val="0"/>
                    <w:i w:val="0"/>
                    <w:sz w:val="18"/>
                    <w:highlight w:val="yellow"/>
                  </w:rPr>
                  <w:t>&lt;Details&gt;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Root-cause analysis</w:t>
            </w:r>
          </w:p>
        </w:tc>
        <w:tc>
          <w:tcPr>
            <w:tcW w:type="dxa" w:w="5472"/>
          </w:tcPr>
          <w:p>
            <w:pPr>
              <w:keepNext w:val="0"/>
              <w:spacing w:before="40" w:after="40" w:line="240" w:lineRule="auto"/>
            </w:pPr>
            <w:sdt>
              <w:sdtPr>
                <w:alias w:val="Root cause"/>
                <w:tag w:val="26.t4.r5.c1"/>
              </w:sdtPr>
              <w:sdtContent>
                <w:r>
                  <w:rPr>
                    <w:rFonts w:ascii="Arial" w:hAnsi="Arial" w:cs="Arial" w:eastAsia="Arial"/>
                    <w:b w:val="0"/>
                    <w:i w:val="0"/>
                    <w:sz w:val="18"/>
                    <w:highlight w:val="yellow"/>
                  </w:rPr>
                  <w:t>&lt;Root cause&gt;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Corrective actions done and planned</w:t>
            </w:r>
          </w:p>
        </w:tc>
        <w:tc>
          <w:tcPr>
            <w:tcW w:type="dxa" w:w="5472"/>
          </w:tcPr>
          <w:p>
            <w:pPr>
              <w:keepNext w:val="0"/>
              <w:spacing w:before="40" w:after="40" w:line="240" w:lineRule="auto"/>
            </w:pPr>
            <w:sdt>
              <w:sdtPr>
                <w:alias w:val="Actions"/>
                <w:tag w:val="26.t4.r6.c1"/>
              </w:sdtPr>
              <w:sdtContent>
                <w:r>
                  <w:rPr>
                    <w:rFonts w:ascii="Arial" w:hAnsi="Arial" w:cs="Arial" w:eastAsia="Arial"/>
                    <w:b w:val="0"/>
                    <w:i w:val="0"/>
                    <w:sz w:val="18"/>
                    <w:highlight w:val="yellow"/>
                  </w:rPr>
                  <w:t>&lt;Actions&gt;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Impact</w:t>
            </w:r>
          </w:p>
        </w:tc>
        <w:tc>
          <w:tcPr>
            <w:tcW w:type="dxa" w:w="5472"/>
          </w:tcPr>
          <w:p>
            <w:pPr>
              <w:keepNext w:val="0"/>
              <w:spacing w:before="40" w:after="40" w:line="240" w:lineRule="auto"/>
            </w:pPr>
            <w:sdt>
              <w:sdtPr>
                <w:alias w:val="Data lost, services disrupted, data changed without authoris"/>
                <w:tag w:val="26.t4.r7.c1"/>
              </w:sdtPr>
              <w:sdtContent>
                <w:r>
                  <w:rPr>
                    <w:rFonts w:ascii="Arial" w:hAnsi="Arial" w:cs="Arial" w:eastAsia="Arial"/>
                    <w:b w:val="0"/>
                    <w:i w:val="0"/>
                    <w:sz w:val="18"/>
                    <w:highlight w:val="yellow"/>
                  </w:rPr>
                  <w:t>&lt;Data lost, services disrupted, data changed without authorisation, data leaked, customers affected&gt;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Total estimated cost of the incident</w:t>
            </w:r>
          </w:p>
        </w:tc>
        <w:tc>
          <w:tcPr>
            <w:tcW w:type="dxa" w:w="5472"/>
          </w:tcPr>
          <w:p>
            <w:pPr>
              <w:keepNext w:val="0"/>
              <w:spacing w:before="40" w:after="40" w:line="240" w:lineRule="auto"/>
            </w:pPr>
            <w:sdt>
              <w:sdtPr>
                <w:alias w:val="Amount"/>
                <w:tag w:val="26.t4.r8.c1"/>
              </w:sdtPr>
              <w:sdtContent>
                <w:r>
                  <w:rPr>
                    <w:rFonts w:ascii="Arial" w:hAnsi="Arial" w:cs="Arial" w:eastAsia="Arial"/>
                    <w:b w:val="0"/>
                    <w:i w:val="0"/>
                    <w:sz w:val="18"/>
                    <w:highlight w:val="yellow"/>
                  </w:rPr>
                  <w:t>&lt;Amount&gt;</w:t>
                </w:r>
              </w:sdtContent>
            </w:sdt>
          </w:p>
        </w:tc>
      </w:tr>
      <w:tr>
        <w:trPr>
          <w:cantSplit w:val="true"/>
        </w:trPr>
        <w:tc>
          <w:tcPr>
            <w:tcW w:type="dxa" w:w="3744"/>
          </w:tcPr>
          <w:p>
            <w:pPr>
              <w:keepNext w:val="0"/>
              <w:spacing w:before="40" w:after="40" w:line="240" w:lineRule="auto"/>
            </w:pPr>
            <w:r>
              <w:rPr>
                <w:rFonts w:ascii="Arial" w:hAnsi="Arial" w:cs="Arial" w:eastAsia="Arial"/>
                <w:b w:val="0"/>
                <w:i w:val="0"/>
                <w:sz w:val="18"/>
              </w:rPr>
              <w:t>Estimated cost of corrective actions</w:t>
            </w:r>
          </w:p>
        </w:tc>
        <w:tc>
          <w:tcPr>
            <w:tcW w:type="dxa" w:w="5472"/>
          </w:tcPr>
          <w:p>
            <w:pPr>
              <w:keepNext w:val="0"/>
              <w:spacing w:before="40" w:after="40" w:line="240" w:lineRule="auto"/>
            </w:pPr>
            <w:sdt>
              <w:sdtPr>
                <w:alias w:val="Amount"/>
                <w:tag w:val="26.t4.r9.c1"/>
              </w:sdtPr>
              <w:sdtContent>
                <w:r>
                  <w:rPr>
                    <w:rFonts w:ascii="Arial" w:hAnsi="Arial" w:cs="Arial" w:eastAsia="Arial"/>
                    <w:b w:val="0"/>
                    <w:i w:val="0"/>
                    <w:sz w:val="18"/>
                    <w:highlight w:val="yellow"/>
                  </w:rPr>
                  <w:t>&lt;Amount&gt;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Exercises</w:t>
      </w:r>
    </w:p>
    <w:p>
      <w:pPr>
        <w:keepNext w:val="0"/>
        <w:spacing w:before="0" w:after="120" w:line="276" w:lineRule="auto"/>
      </w:pPr>
      <w:r>
        <w:rPr>
          <w:rFonts w:ascii="Arial" w:hAnsi="Arial" w:cs="Arial" w:eastAsia="Arial"/>
          <w:b w:val="0"/>
          <w:i w:val="0"/>
          <w:sz w:val="21"/>
        </w:rPr>
        <w:t xml:space="preserve">The process is tested at least </w:t>
      </w:r>
      <w:sdt>
        <w:sdtPr>
          <w:alias w:val="once a year"/>
          <w:tag w:val="26.exercis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xml:space="preserve"> with an exercise, for example a tabletop scenario for ransomware or a data breach. Everyone with a part attends. Lessons learned are recorded and tracked as actions, and the results go to the committee.</w:t>
      </w:r>
    </w:p>
    <w:p>
      <w:pPr>
        <w:keepNext/>
        <w:spacing w:before="280" w:after="120" w:line="264" w:lineRule="auto"/>
      </w:pPr>
      <w:r>
        <w:rPr>
          <w:rFonts w:ascii="Arial" w:hAnsi="Arial" w:cs="Arial" w:eastAsia="Arial"/>
          <w:b/>
          <w:i w:val="0"/>
          <w:color w:val="1B253B"/>
          <w:sz w:val="28"/>
        </w:rPr>
        <w:t>9. Improvements</w:t>
      </w:r>
    </w:p>
    <w:p>
      <w:pPr>
        <w:keepNext w:val="0"/>
        <w:spacing w:before="0" w:after="120" w:line="276" w:lineRule="auto"/>
      </w:pPr>
      <w:r>
        <w:rPr>
          <w:rFonts w:ascii="Arial" w:hAnsi="Arial" w:cs="Arial" w:eastAsia="Arial"/>
          <w:b w:val="0"/>
          <w:i w:val="0"/>
          <w:sz w:val="21"/>
        </w:rPr>
        <w:t>Suggested improvements from every incident are reported to the CISO and the committee, and tracked as actions. The incident repository below is kept up to date, and is used to find patterns.</w:t>
      </w:r>
    </w:p>
    <w:p>
      <w:pPr>
        <w:keepNext/>
        <w:spacing w:before="280" w:after="120" w:line="264" w:lineRule="auto"/>
      </w:pPr>
      <w:r>
        <w:rPr>
          <w:rFonts w:ascii="Arial" w:hAnsi="Arial" w:cs="Arial" w:eastAsia="Arial"/>
          <w:b/>
          <w:i w:val="0"/>
          <w:color w:val="1B253B"/>
          <w:sz w:val="28"/>
        </w:rPr>
        <w:t>10. Incident repository</w:t>
      </w:r>
    </w:p>
    <w:tbl>
      <w:tblPr>
        <w:tblStyle w:val="TableGrid"/>
        <w:tblW w:type="auto" w:w="0"/>
        <w:jc w:val="center"/>
        <w:tblLayout w:type="fixed"/>
        <w:tblLook w:firstColumn="1" w:firstRow="1" w:lastColumn="0" w:lastRow="0" w:noHBand="0" w:noVBand="1" w:val="04A0"/>
        <w:tblCaption w:val="source:incidents"/>
      </w:tblPr>
      <w:tblGrid>
        <w:gridCol w:w="1835"/>
        <w:gridCol w:w="1835"/>
        <w:gridCol w:w="1835"/>
        <w:gridCol w:w="1835"/>
        <w:gridCol w:w="1835"/>
      </w:tblGrid>
      <w:tr>
        <w:trPr>
          <w:tblHeader w:val="true"/>
        </w:trPr>
        <w:tc>
          <w:tcPr>
            <w:tcW w:type="dxa" w:w="3456"/>
            <w:shd w:val="clear" w:color="auto" w:fill="DCE6F5"/>
          </w:tcPr>
          <w:p>
            <w:pPr>
              <w:keepNext w:val="0"/>
              <w:spacing w:before="40" w:after="40" w:line="240" w:lineRule="auto"/>
            </w:pPr>
            <w:r>
              <w:rPr>
                <w:rFonts w:ascii="Arial" w:hAnsi="Arial" w:cs="Arial" w:eastAsia="Arial"/>
                <w:b/>
                <w:i w:val="0"/>
                <w:color w:val="1B253B"/>
                <w:sz w:val="18"/>
              </w:rPr>
              <w:t>Incident</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Detected</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Severity</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Status</w:t>
            </w:r>
          </w:p>
        </w:tc>
        <w:tc>
          <w:tcPr>
            <w:tcW w:type="dxa" w:w="1584"/>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3456"/>
          </w:tcPr>
          <w:p>
            <w:pPr>
              <w:keepNext w:val="0"/>
              <w:spacing w:before="40" w:after="40" w:line="240" w:lineRule="auto"/>
            </w:pPr>
            <w:r>
              <w:rPr>
                <w:rFonts w:ascii="Arial" w:hAnsi="Arial" w:cs="Arial" w:eastAsia="Arial"/>
                <w:b w:val="0"/>
                <w:i w:val="0"/>
                <w:sz w:val="18"/>
                <w:highlight w:val="yellow"/>
              </w:rPr>
              <w:t>&lt;Incident&gt;</w:t>
            </w:r>
          </w:p>
        </w:tc>
        <w:tc>
          <w:tcPr>
            <w:tcW w:type="dxa" w:w="1440"/>
          </w:tcPr>
          <w:p>
            <w:pPr>
              <w:keepNext w:val="0"/>
              <w:spacing w:before="40" w:after="40" w:line="240" w:lineRule="auto"/>
            </w:pPr>
            <w:r>
              <w:rPr>
                <w:rFonts w:ascii="Arial" w:hAnsi="Arial" w:cs="Arial" w:eastAsia="Arial"/>
                <w:b w:val="0"/>
                <w:i w:val="0"/>
                <w:sz w:val="18"/>
                <w:highlight w:val="yellow"/>
              </w:rPr>
              <w:t>&lt;Date&gt;</w:t>
            </w:r>
          </w:p>
        </w:tc>
        <w:tc>
          <w:tcPr>
            <w:tcW w:type="dxa" w:w="1296"/>
          </w:tcPr>
          <w:p>
            <w:pPr>
              <w:keepNext w:val="0"/>
              <w:spacing w:before="40" w:after="40" w:line="240" w:lineRule="auto"/>
            </w:pPr>
            <w:r>
              <w:rPr>
                <w:rFonts w:ascii="Arial" w:hAnsi="Arial" w:cs="Arial" w:eastAsia="Arial"/>
                <w:b w:val="0"/>
                <w:i w:val="0"/>
                <w:sz w:val="18"/>
                <w:highlight w:val="yellow"/>
              </w:rPr>
              <w:t>&lt;Severity&gt;</w:t>
            </w:r>
          </w:p>
        </w:tc>
        <w:tc>
          <w:tcPr>
            <w:tcW w:type="dxa" w:w="1440"/>
          </w:tcPr>
          <w:p>
            <w:pPr>
              <w:keepNext w:val="0"/>
              <w:spacing w:before="40" w:after="40" w:line="240" w:lineRule="auto"/>
            </w:pPr>
            <w:r>
              <w:rPr>
                <w:rFonts w:ascii="Arial" w:hAnsi="Arial" w:cs="Arial" w:eastAsia="Arial"/>
                <w:b w:val="0"/>
                <w:i w:val="0"/>
                <w:sz w:val="18"/>
                <w:highlight w:val="yellow"/>
              </w:rPr>
              <w:t>&lt;Status&gt;</w:t>
            </w:r>
          </w:p>
        </w:tc>
        <w:tc>
          <w:tcPr>
            <w:tcW w:type="dxa" w:w="1584"/>
          </w:tcPr>
          <w:p>
            <w:pPr>
              <w:keepNext w:val="0"/>
              <w:spacing w:before="40" w:after="40" w:line="240" w:lineRule="auto"/>
            </w:pPr>
            <w:r>
              <w:rPr>
                <w:rFonts w:ascii="Arial" w:hAnsi="Arial" w:cs="Arial" w:eastAsia="Arial"/>
                <w:b w:val="0"/>
                <w:i w:val="0"/>
                <w:sz w:val="18"/>
                <w:highlight w:val="yellow"/>
              </w:rPr>
              <w:t>&lt;Owner&gt;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11.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26.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Incidents contained within target time</w:t>
            </w:r>
          </w:p>
        </w:tc>
        <w:tc>
          <w:tcPr>
            <w:tcW w:type="dxa" w:w="2592"/>
          </w:tcPr>
          <w:p>
            <w:pPr>
              <w:keepNext w:val="0"/>
              <w:spacing w:before="40" w:after="40" w:line="240" w:lineRule="auto"/>
            </w:pPr>
            <w:sdt>
              <w:sdtPr>
                <w:alias w:val="95%"/>
                <w:tag w:val="26.t6.r0.c1"/>
              </w:sdtPr>
              <w:sdtContent>
                <w:r>
                  <w:rPr>
                    <w:rFonts w:ascii="Arial" w:hAnsi="Arial" w:cs="Arial" w:eastAsia="Arial"/>
                    <w:b w:val="0"/>
                    <w:i w:val="0"/>
                    <w:sz w:val="18"/>
                    <w:highlight w:val="yellow"/>
                  </w:rPr>
                  <w:t>&lt;95%&gt;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Medium and high incidents reported to SAMA at once</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12.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13.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14.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3.3.15.1</w:t>
            </w:r>
          </w:p>
        </w:tc>
        <w:tc>
          <w:tcPr>
            <w:tcW w:type="dxa" w:w="7920"/>
          </w:tcPr>
          <w:p>
            <w:pPr>
              <w:keepNext w:val="0"/>
              <w:spacing w:before="40" w:after="40" w:line="240" w:lineRule="auto"/>
            </w:pPr>
            <w:r>
              <w:rPr>
                <w:rFonts w:ascii="Arial" w:hAnsi="Arial" w:cs="Arial" w:eastAsia="Arial"/>
                <w:b w:val="0"/>
                <w:i w:val="0"/>
                <w:sz w:val="18"/>
              </w:rPr>
              <w:t>Process defined, approved, implemented and aligned with enterprise incident management</w:t>
            </w:r>
          </w:p>
        </w:tc>
      </w:tr>
      <w:tr>
        <w:trPr>
          <w:cantSplit w:val="true"/>
        </w:trPr>
        <w:tc>
          <w:tcPr>
            <w:tcW w:type="dxa" w:w="1296"/>
          </w:tcPr>
          <w:p>
            <w:pPr>
              <w:keepNext w:val="0"/>
              <w:spacing w:before="40" w:after="40" w:line="240" w:lineRule="auto"/>
            </w:pPr>
            <w:r>
              <w:rPr>
                <w:rFonts w:ascii="Arial" w:hAnsi="Arial" w:cs="Arial" w:eastAsia="Arial"/>
                <w:b w:val="0"/>
                <w:i w:val="0"/>
                <w:sz w:val="18"/>
              </w:rPr>
              <w:t>3.3.15.2</w:t>
            </w:r>
          </w:p>
        </w:tc>
        <w:tc>
          <w:tcPr>
            <w:tcW w:type="dxa" w:w="7920"/>
          </w:tcPr>
          <w:p>
            <w:pPr>
              <w:keepNext w:val="0"/>
              <w:spacing w:before="40" w:after="40" w:line="240" w:lineRule="auto"/>
            </w:pPr>
            <w:r>
              <w:rPr>
                <w:rFonts w:ascii="Arial" w:hAnsi="Arial" w:cs="Arial" w:eastAsia="Arial"/>
                <w:b w:val="0"/>
                <w:i w:val="0"/>
                <w:sz w:val="18"/>
              </w:rPr>
              <w:t>Effectiveness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3.3.15.3</w:t>
            </w:r>
          </w:p>
        </w:tc>
        <w:tc>
          <w:tcPr>
            <w:tcW w:type="dxa" w:w="7920"/>
          </w:tcPr>
          <w:p>
            <w:pPr>
              <w:keepNext w:val="0"/>
              <w:spacing w:before="40" w:after="40" w:line="240" w:lineRule="auto"/>
            </w:pPr>
            <w:r>
              <w:rPr>
                <w:rFonts w:ascii="Arial" w:hAnsi="Arial" w:cs="Arial" w:eastAsia="Arial"/>
                <w:b w:val="0"/>
                <w:i w:val="0"/>
                <w:sz w:val="18"/>
              </w:rPr>
              <w:t>Mandatory and suspicious events to respond to</w:t>
            </w:r>
          </w:p>
        </w:tc>
      </w:tr>
      <w:tr>
        <w:trPr>
          <w:cantSplit w:val="true"/>
        </w:trPr>
        <w:tc>
          <w:tcPr>
            <w:tcW w:type="dxa" w:w="1296"/>
          </w:tcPr>
          <w:p>
            <w:pPr>
              <w:keepNext w:val="0"/>
              <w:spacing w:before="40" w:after="40" w:line="240" w:lineRule="auto"/>
            </w:pPr>
            <w:r>
              <w:rPr>
                <w:rFonts w:ascii="Arial" w:hAnsi="Arial" w:cs="Arial" w:eastAsia="Arial"/>
                <w:b w:val="0"/>
                <w:i w:val="0"/>
                <w:sz w:val="18"/>
              </w:rPr>
              <w:t>3.3.15.4</w:t>
            </w:r>
          </w:p>
        </w:tc>
        <w:tc>
          <w:tcPr>
            <w:tcW w:type="dxa" w:w="7920"/>
          </w:tcPr>
          <w:p>
            <w:pPr>
              <w:keepNext w:val="0"/>
              <w:spacing w:before="40" w:after="40" w:line="240" w:lineRule="auto"/>
            </w:pPr>
            <w:r>
              <w:rPr>
                <w:rFonts w:ascii="Arial" w:hAnsi="Arial" w:cs="Arial" w:eastAsia="Arial"/>
                <w:b w:val="0"/>
                <w:i w:val="0"/>
                <w:sz w:val="18"/>
              </w:rPr>
              <w:t>Team, forensics, restricted area, classification, timely handling, evidence, post-incident work, improvements, repository</w:t>
            </w:r>
          </w:p>
        </w:tc>
      </w:tr>
      <w:tr>
        <w:trPr>
          <w:cantSplit w:val="true"/>
        </w:trPr>
        <w:tc>
          <w:tcPr>
            <w:tcW w:type="dxa" w:w="1296"/>
          </w:tcPr>
          <w:p>
            <w:pPr>
              <w:keepNext w:val="0"/>
              <w:spacing w:before="40" w:after="40" w:line="240" w:lineRule="auto"/>
            </w:pPr>
            <w:r>
              <w:rPr>
                <w:rFonts w:ascii="Arial" w:hAnsi="Arial" w:cs="Arial" w:eastAsia="Arial"/>
                <w:b w:val="0"/>
                <w:i w:val="0"/>
                <w:sz w:val="18"/>
              </w:rPr>
              <w:t>3.3.15.5</w:t>
            </w:r>
          </w:p>
        </w:tc>
        <w:tc>
          <w:tcPr>
            <w:tcW w:type="dxa" w:w="7920"/>
          </w:tcPr>
          <w:p>
            <w:pPr>
              <w:keepNext w:val="0"/>
              <w:spacing w:before="40" w:after="40" w:line="240" w:lineRule="auto"/>
            </w:pPr>
            <w:r>
              <w:rPr>
                <w:rFonts w:ascii="Arial" w:hAnsi="Arial" w:cs="Arial" w:eastAsia="Arial"/>
                <w:b w:val="0"/>
                <w:i w:val="0"/>
                <w:sz w:val="18"/>
              </w:rPr>
              <w:t>SAMA told immediately about medium and high incidents</w:t>
            </w:r>
          </w:p>
        </w:tc>
      </w:tr>
      <w:tr>
        <w:trPr>
          <w:cantSplit w:val="true"/>
        </w:trPr>
        <w:tc>
          <w:tcPr>
            <w:tcW w:type="dxa" w:w="1296"/>
          </w:tcPr>
          <w:p>
            <w:pPr>
              <w:keepNext w:val="0"/>
              <w:spacing w:before="40" w:after="40" w:line="240" w:lineRule="auto"/>
            </w:pPr>
            <w:r>
              <w:rPr>
                <w:rFonts w:ascii="Arial" w:hAnsi="Arial" w:cs="Arial" w:eastAsia="Arial"/>
                <w:b w:val="0"/>
                <w:i w:val="0"/>
                <w:sz w:val="18"/>
              </w:rPr>
              <w:t>3.3.15.6</w:t>
            </w:r>
          </w:p>
        </w:tc>
        <w:tc>
          <w:tcPr>
            <w:tcW w:type="dxa" w:w="7920"/>
          </w:tcPr>
          <w:p>
            <w:pPr>
              <w:keepNext w:val="0"/>
              <w:spacing w:before="40" w:after="40" w:line="240" w:lineRule="auto"/>
            </w:pPr>
            <w:r>
              <w:rPr>
                <w:rFonts w:ascii="Arial" w:hAnsi="Arial" w:cs="Arial" w:eastAsia="Arial"/>
                <w:b w:val="0"/>
                <w:i w:val="0"/>
                <w:sz w:val="18"/>
              </w:rPr>
              <w:t>SAMA's no-objection before media interaction</w:t>
            </w:r>
          </w:p>
        </w:tc>
      </w:tr>
      <w:tr>
        <w:trPr>
          <w:cantSplit w:val="true"/>
        </w:trPr>
        <w:tc>
          <w:tcPr>
            <w:tcW w:type="dxa" w:w="1296"/>
          </w:tcPr>
          <w:p>
            <w:pPr>
              <w:keepNext w:val="0"/>
              <w:spacing w:before="40" w:after="40" w:line="240" w:lineRule="auto"/>
            </w:pPr>
            <w:r>
              <w:rPr>
                <w:rFonts w:ascii="Arial" w:hAnsi="Arial" w:cs="Arial" w:eastAsia="Arial"/>
                <w:b w:val="0"/>
                <w:i w:val="0"/>
                <w:sz w:val="18"/>
              </w:rPr>
              <w:t>3.3.15.7</w:t>
            </w:r>
          </w:p>
        </w:tc>
        <w:tc>
          <w:tcPr>
            <w:tcW w:type="dxa" w:w="7920"/>
          </w:tcPr>
          <w:p>
            <w:pPr>
              <w:keepNext w:val="0"/>
              <w:spacing w:before="40" w:after="40" w:line="240" w:lineRule="auto"/>
            </w:pPr>
            <w:r>
              <w:rPr>
                <w:rFonts w:ascii="Arial" w:hAnsi="Arial" w:cs="Arial" w:eastAsia="Arial"/>
                <w:b w:val="0"/>
                <w:i w:val="0"/>
                <w:sz w:val="18"/>
              </w:rPr>
              <w:t>Formal incident report to SAMA after recovery</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Incident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Incident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