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Threat Intelligence Management</w:t>
      </w:r>
    </w:p>
    <w:p>
      <w:pPr>
        <w:keepNext w:val="0"/>
        <w:spacing w:before="0" w:after="200" w:line="240" w:lineRule="auto"/>
      </w:pPr>
      <w:r>
        <w:rPr>
          <w:rFonts w:ascii="Arial" w:hAnsi="Arial" w:cs="Arial" w:eastAsia="Arial"/>
          <w:b w:val="0"/>
          <w:i w:val="0"/>
          <w:color w:val="5B6678"/>
          <w:sz w:val="21"/>
        </w:rPr>
        <w:t>How threats are collected, analysed, acted on and shared.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SAMA-27</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process identifies, assesses and makes sense of threats to the information assets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from several reliable sources, so that the organisation understands the threats emerging against it and can act on them.</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Threats to all information assets, from inside and outside the organisation.</w:t>
      </w:r>
    </w:p>
    <w:p>
      <w:pPr>
        <w:keepNext/>
        <w:spacing w:before="280" w:after="120" w:line="264" w:lineRule="auto"/>
      </w:pPr>
      <w:r>
        <w:rPr>
          <w:rFonts w:ascii="Arial" w:hAnsi="Arial" w:cs="Arial" w:eastAsia="Arial"/>
          <w:b/>
          <w:i w:val="0"/>
          <w:color w:val="1B253B"/>
          <w:sz w:val="28"/>
        </w:rPr>
        <w:t>3. Sources of threat intelligence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728"/>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7488"/>
            <w:shd w:val="clear" w:color="auto" w:fill="DCE6F5"/>
          </w:tcPr>
          <w:p>
            <w:pPr>
              <w:keepNext w:val="0"/>
              <w:spacing w:before="40" w:after="40" w:line="240" w:lineRule="auto"/>
            </w:pPr>
            <w:r>
              <w:rPr>
                <w:rFonts w:ascii="Arial" w:hAnsi="Arial" w:cs="Arial" w:eastAsia="Arial"/>
                <w:b/>
                <w:i w:val="0"/>
                <w:color w:val="1B253B"/>
                <w:sz w:val="18"/>
              </w:rPr>
              <w:t>Sources</w:t>
            </w:r>
          </w:p>
        </w:tc>
      </w:tr>
      <w:tr>
        <w:trPr>
          <w:cantSplit w:val="true"/>
        </w:trPr>
        <w:tc>
          <w:tcPr>
            <w:tcW w:type="dxa" w:w="1728"/>
          </w:tcPr>
          <w:p>
            <w:pPr>
              <w:keepNext w:val="0"/>
              <w:spacing w:before="40" w:after="40" w:line="240" w:lineRule="auto"/>
            </w:pPr>
            <w:r>
              <w:rPr>
                <w:rFonts w:ascii="Arial" w:hAnsi="Arial" w:cs="Arial" w:eastAsia="Arial"/>
                <w:b w:val="0"/>
                <w:i w:val="0"/>
                <w:sz w:val="18"/>
              </w:rPr>
              <w:t>Internal</w:t>
            </w:r>
          </w:p>
        </w:tc>
        <w:tc>
          <w:tcPr>
            <w:tcW w:type="dxa" w:w="7488"/>
          </w:tcPr>
          <w:p>
            <w:pPr>
              <w:keepNext w:val="0"/>
              <w:spacing w:before="40" w:after="40" w:line="240" w:lineRule="auto"/>
            </w:pPr>
            <w:r>
              <w:rPr>
                <w:rFonts w:ascii="Arial" w:hAnsi="Arial" w:cs="Arial" w:eastAsia="Arial"/>
                <w:b w:val="0"/>
                <w:i w:val="0"/>
                <w:sz w:val="18"/>
              </w:rPr>
              <w:t>Access, application and infrastructure logs; intrusion detection and prevention; security tools; the SIEM; and support functions such as legal, audit, the IT helpdesk, forensics, fraud, risk and compliance.</w:t>
            </w:r>
          </w:p>
        </w:tc>
      </w:tr>
      <w:tr>
        <w:trPr>
          <w:cantSplit w:val="true"/>
        </w:trPr>
        <w:tc>
          <w:tcPr>
            <w:tcW w:type="dxa" w:w="1728"/>
          </w:tcPr>
          <w:p>
            <w:pPr>
              <w:keepNext w:val="0"/>
              <w:spacing w:before="40" w:after="40" w:line="240" w:lineRule="auto"/>
            </w:pPr>
            <w:r>
              <w:rPr>
                <w:rFonts w:ascii="Arial" w:hAnsi="Arial" w:cs="Arial" w:eastAsia="Arial"/>
                <w:b w:val="0"/>
                <w:i w:val="0"/>
                <w:sz w:val="18"/>
              </w:rPr>
              <w:t>External</w:t>
            </w:r>
          </w:p>
        </w:tc>
        <w:tc>
          <w:tcPr>
            <w:tcW w:type="dxa" w:w="7488"/>
          </w:tcPr>
          <w:p>
            <w:pPr>
              <w:keepNext w:val="0"/>
              <w:spacing w:before="40" w:after="40" w:line="240" w:lineRule="auto"/>
            </w:pPr>
            <w:r>
              <w:rPr>
                <w:rFonts w:ascii="Arial" w:hAnsi="Arial" w:cs="Arial" w:eastAsia="Arial"/>
                <w:b w:val="0"/>
                <w:i w:val="0"/>
                <w:sz w:val="18"/>
              </w:rPr>
              <w:t xml:space="preserve">SAMA; government agencies; security forums; vendors; security organisations; and specialist alert services. Ours: </w:t>
            </w:r>
            <w:sdt>
              <w:sdtPr>
                <w:alias w:val="SAMA alerts, the national CERT, vendor bulletins, industry s"/>
                <w:tag w:val="27.sources"/>
              </w:sdtPr>
              <w:sdtContent>
                <w:r>
                  <w:rPr>
                    <w:rFonts w:ascii="Arial" w:hAnsi="Arial" w:cs="Arial" w:eastAsia="Arial"/>
                    <w:b w:val="0"/>
                    <w:i w:val="0"/>
                    <w:sz w:val="18"/>
                    <w:highlight w:val="yellow"/>
                  </w:rPr>
                  <w:t>&lt;SAMA alerts, the national CERT, vendor bulletins, industry sharing groups&gt;</w:t>
                </w:r>
              </w:sdtContent>
            </w:sdt>
            <w:r>
              <w:rPr>
                <w:rFonts w:ascii="Arial" w:hAnsi="Arial" w:cs="Arial" w:eastAsia="Arial"/>
                <w:b w:val="0"/>
                <w:i w:val="0"/>
                <w:sz w:val="18"/>
              </w:rPr>
              <w: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How threat information is analysed</w:t>
      </w:r>
    </w:p>
    <w:p>
      <w:pPr>
        <w:keepNext w:val="0"/>
        <w:spacing w:before="0" w:after="60" w:line="276" w:lineRule="auto"/>
        <w:ind w:left="504" w:hanging="403"/>
      </w:pPr>
      <w:r>
        <w:rPr>
          <w:rFonts w:ascii="Arial" w:hAnsi="Arial" w:cs="Arial" w:eastAsia="Arial"/>
          <w:b w:val="0"/>
          <w:i w:val="0"/>
          <w:sz w:val="21"/>
        </w:rPr>
        <w:t>1.  The threat intelligence analyst collects information from the sources above, daily.</w:t>
      </w:r>
    </w:p>
    <w:p>
      <w:pPr>
        <w:keepNext w:val="0"/>
        <w:spacing w:before="0" w:after="60" w:line="276" w:lineRule="auto"/>
        <w:ind w:left="504" w:hanging="403"/>
      </w:pPr>
      <w:r>
        <w:rPr>
          <w:rFonts w:ascii="Arial" w:hAnsi="Arial" w:cs="Arial" w:eastAsia="Arial"/>
          <w:b w:val="0"/>
          <w:i w:val="0"/>
          <w:sz w:val="21"/>
        </w:rPr>
        <w:t xml:space="preserve">2.  It is analysed periodically, using a defined method: </w:t>
      </w:r>
      <w:sdt>
        <w:sdtPr>
          <w:alias w:val="assess source reliability, remove duplicates, rate credibili"/>
          <w:tag w:val="27.method"/>
        </w:sdtPr>
        <w:sdtContent>
          <w:r>
            <w:rPr>
              <w:rFonts w:ascii="Arial" w:hAnsi="Arial" w:cs="Arial" w:eastAsia="Arial"/>
              <w:b w:val="0"/>
              <w:i w:val="0"/>
              <w:sz w:val="21"/>
              <w:highlight w:val="yellow"/>
            </w:rPr>
            <w:t>&lt;assess source reliability, remove duplicates, rate credibility and relevance&gt;</w:t>
          </w:r>
        </w:sdtContent>
      </w:sdt>
      <w:r>
        <w:rPr>
          <w:rFonts w:ascii="Arial" w:hAnsi="Arial" w:cs="Arial" w:eastAsia="Arial"/>
          <w:b w:val="0"/>
          <w:i w:val="0"/>
          <w:sz w:val="21"/>
        </w:rPr>
        <w:t>.</w:t>
      </w:r>
    </w:p>
    <w:p>
      <w:pPr>
        <w:keepNext w:val="0"/>
        <w:spacing w:before="0" w:after="60" w:line="276" w:lineRule="auto"/>
        <w:ind w:left="504" w:hanging="403"/>
      </w:pPr>
      <w:r>
        <w:rPr>
          <w:rFonts w:ascii="Arial" w:hAnsi="Arial" w:cs="Arial" w:eastAsia="Arial"/>
          <w:b w:val="0"/>
          <w:i w:val="0"/>
          <w:sz w:val="21"/>
        </w:rPr>
        <w:t>3.  Each threat is recorded with how it works, who is behind it, their motive and the type of threat.</w:t>
      </w:r>
    </w:p>
    <w:p>
      <w:pPr>
        <w:keepNext w:val="0"/>
        <w:spacing w:before="0" w:after="60" w:line="276" w:lineRule="auto"/>
        <w:ind w:left="504" w:hanging="403"/>
      </w:pPr>
      <w:r>
        <w:rPr>
          <w:rFonts w:ascii="Arial" w:hAnsi="Arial" w:cs="Arial" w:eastAsia="Arial"/>
          <w:b w:val="0"/>
          <w:i w:val="0"/>
          <w:sz w:val="21"/>
        </w:rPr>
        <w:t>4.  Its relevance and whether it can be acted on are judged for teams such as the SOC and risk management.</w:t>
      </w:r>
    </w:p>
    <w:p>
      <w:pPr>
        <w:keepNext w:val="0"/>
        <w:spacing w:before="0" w:after="60" w:line="276" w:lineRule="auto"/>
        <w:ind w:left="504" w:hanging="403"/>
      </w:pPr>
      <w:r>
        <w:rPr>
          <w:rFonts w:ascii="Arial" w:hAnsi="Arial" w:cs="Arial" w:eastAsia="Arial"/>
          <w:b w:val="0"/>
          <w:i w:val="0"/>
          <w:sz w:val="21"/>
        </w:rPr>
        <w:t>5.  Actions are raised: block indicators, patch, change a detection, update a risk.</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Sharing</w:t>
      </w:r>
    </w:p>
    <w:p>
      <w:pPr>
        <w:keepNext w:val="0"/>
        <w:spacing w:before="0" w:after="120" w:line="276" w:lineRule="auto"/>
      </w:pPr>
      <w:r>
        <w:rPr>
          <w:rFonts w:ascii="Arial" w:hAnsi="Arial" w:cs="Arial" w:eastAsia="Arial"/>
          <w:b w:val="0"/>
          <w:i w:val="0"/>
          <w:sz w:val="21"/>
        </w:rPr>
        <w:t xml:space="preserve">Relevant intelligence is shared with stakeholders such as SAMA and the members of the sector's information sharing group, through </w:t>
      </w:r>
      <w:sdt>
        <w:sdtPr>
          <w:alias w:val="the agreed secure channel"/>
          <w:tag w:val="27.sharing"/>
        </w:sdtPr>
        <w:sdtContent>
          <w:r>
            <w:rPr>
              <w:rFonts w:ascii="Arial" w:hAnsi="Arial" w:cs="Arial" w:eastAsia="Arial"/>
              <w:b w:val="0"/>
              <w:i w:val="0"/>
              <w:sz w:val="21"/>
              <w:highlight w:val="yellow"/>
            </w:rPr>
            <w:t>&lt;the agreed secure channel&gt;</w:t>
          </w:r>
        </w:sdtContent>
      </w:sdt>
      <w:r>
        <w:rPr>
          <w:rFonts w:ascii="Arial" w:hAnsi="Arial" w:cs="Arial" w:eastAsia="Arial"/>
          <w:b w:val="0"/>
          <w:i w:val="0"/>
          <w:sz w:val="21"/>
        </w:rPr>
        <w:t>. Only what is allowed to be shared is shared, and sensitive details are removed.</w:t>
      </w:r>
    </w:p>
    <w:p>
      <w:pPr>
        <w:keepNext/>
        <w:spacing w:before="280" w:after="120" w:line="264" w:lineRule="auto"/>
      </w:pPr>
      <w:r>
        <w:rPr>
          <w:rFonts w:ascii="Arial" w:hAnsi="Arial" w:cs="Arial" w:eastAsia="Arial"/>
          <w:b/>
          <w:i w:val="0"/>
          <w:color w:val="1B253B"/>
          <w:sz w:val="28"/>
        </w:rPr>
        <w:t>6. Threat register</w:t>
      </w:r>
    </w:p>
    <w:tbl>
      <w:tblPr>
        <w:tblStyle w:val="TableGrid"/>
        <w:tblW w:type="auto" w:w="0"/>
        <w:jc w:val="center"/>
        <w:tblLayout w:type="fixed"/>
        <w:tblLook w:firstColumn="1" w:firstRow="1" w:lastColumn="0" w:lastRow="0" w:noHBand="0" w:noVBand="1" w:val="04A0"/>
        <w:tblCaption w:val="list:27.threats"/>
      </w:tblPr>
      <w:tblGrid>
        <w:gridCol w:w="1310"/>
        <w:gridCol w:w="1310"/>
        <w:gridCol w:w="1310"/>
        <w:gridCol w:w="1310"/>
        <w:gridCol w:w="1310"/>
        <w:gridCol w:w="1310"/>
        <w:gridCol w:w="1310"/>
      </w:tblGrid>
      <w:tr>
        <w:trPr>
          <w:tblHeader w:val="true"/>
        </w:trPr>
        <w:tc>
          <w:tcPr>
            <w:tcW w:type="dxa" w:w="1728"/>
            <w:shd w:val="clear" w:color="auto" w:fill="DCE6F5"/>
          </w:tcPr>
          <w:p>
            <w:pPr>
              <w:keepNext w:val="0"/>
              <w:spacing w:before="40" w:after="40" w:line="240" w:lineRule="auto"/>
            </w:pPr>
            <w:r>
              <w:rPr>
                <w:rFonts w:ascii="Arial" w:hAnsi="Arial" w:cs="Arial" w:eastAsia="Arial"/>
                <w:b/>
                <w:i w:val="0"/>
                <w:color w:val="1B253B"/>
                <w:sz w:val="18"/>
              </w:rPr>
              <w:t>Threat</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Source</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Relevance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Action</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864"/>
            <w:shd w:val="clear" w:color="auto" w:fill="DCE6F5"/>
          </w:tcPr>
          <w:p>
            <w:pPr>
              <w:keepNext w:val="0"/>
              <w:spacing w:before="40" w:after="40" w:line="240" w:lineRule="auto"/>
            </w:pPr>
            <w:r>
              <w:rPr>
                <w:rFonts w:ascii="Arial" w:hAnsi="Arial" w:cs="Arial" w:eastAsia="Arial"/>
                <w:b/>
                <w:i w:val="0"/>
                <w:color w:val="1B253B"/>
                <w:sz w:val="18"/>
              </w:rPr>
              <w:t>Date</w:t>
            </w:r>
          </w:p>
        </w:tc>
      </w:tr>
      <w:tr>
        <w:trPr>
          <w:cantSplit w:val="true"/>
        </w:trPr>
        <w:tc>
          <w:tcPr>
            <w:tcW w:type="dxa" w:w="1728"/>
          </w:tcPr>
          <w:p>
            <w:pPr>
              <w:keepNext w:val="0"/>
              <w:spacing w:before="40" w:after="40" w:line="240" w:lineRule="auto"/>
            </w:pPr>
            <w:r>
              <w:rPr>
                <w:rFonts w:ascii="Arial" w:hAnsi="Arial" w:cs="Arial" w:eastAsia="Arial"/>
                <w:b w:val="0"/>
                <w:i w:val="0"/>
                <w:sz w:val="18"/>
                <w:highlight w:val="yellow"/>
              </w:rPr>
              <w:t>&lt;Threat&gt;</w:t>
            </w:r>
          </w:p>
        </w:tc>
        <w:tc>
          <w:tcPr>
            <w:tcW w:type="dxa" w:w="1152"/>
          </w:tcPr>
          <w:p>
            <w:pPr>
              <w:keepNext w:val="0"/>
              <w:spacing w:before="40" w:after="40" w:line="240" w:lineRule="auto"/>
            </w:pPr>
            <w:r>
              <w:rPr>
                <w:rFonts w:ascii="Arial" w:hAnsi="Arial" w:cs="Arial" w:eastAsia="Arial"/>
                <w:b w:val="0"/>
                <w:i w:val="0"/>
                <w:sz w:val="18"/>
                <w:highlight w:val="yellow"/>
              </w:rPr>
              <w:t>&lt;Source&gt;</w:t>
            </w:r>
          </w:p>
        </w:tc>
        <w:tc>
          <w:tcPr>
            <w:tcW w:type="dxa" w:w="1008"/>
          </w:tcPr>
          <w:p>
            <w:pPr>
              <w:keepNext w:val="0"/>
              <w:spacing w:before="40" w:after="40" w:line="240" w:lineRule="auto"/>
            </w:pPr>
            <w:r>
              <w:rPr>
                <w:rFonts w:ascii="Arial" w:hAnsi="Arial" w:cs="Arial" w:eastAsia="Arial"/>
                <w:b w:val="0"/>
                <w:i w:val="0"/>
                <w:sz w:val="18"/>
                <w:highlight w:val="yellow"/>
              </w:rPr>
              <w:t>&lt;Type&gt;</w:t>
            </w:r>
          </w:p>
        </w:tc>
        <w:tc>
          <w:tcPr>
            <w:tcW w:type="dxa" w:w="1152"/>
          </w:tcPr>
          <w:p>
            <w:pPr>
              <w:keepNext w:val="0"/>
              <w:spacing w:before="40" w:after="40" w:line="240" w:lineRule="auto"/>
            </w:pPr>
            <w:r>
              <w:rPr>
                <w:rFonts w:ascii="Arial" w:hAnsi="Arial" w:cs="Arial" w:eastAsia="Arial"/>
                <w:b w:val="0"/>
                <w:i w:val="0"/>
                <w:sz w:val="18"/>
                <w:highlight w:val="yellow"/>
              </w:rPr>
              <w:t>&lt;Relevance&gt;</w:t>
            </w:r>
          </w:p>
        </w:tc>
        <w:tc>
          <w:tcPr>
            <w:tcW w:type="dxa" w:w="1728"/>
          </w:tcPr>
          <w:p>
            <w:pPr>
              <w:keepNext w:val="0"/>
              <w:spacing w:before="40" w:after="40" w:line="240" w:lineRule="auto"/>
            </w:pPr>
            <w:r>
              <w:rPr>
                <w:rFonts w:ascii="Arial" w:hAnsi="Arial" w:cs="Arial" w:eastAsia="Arial"/>
                <w:b w:val="0"/>
                <w:i w:val="0"/>
                <w:sz w:val="18"/>
                <w:highlight w:val="yellow"/>
              </w:rPr>
              <w:t>&lt;Action&gt;</w:t>
            </w:r>
          </w:p>
        </w:tc>
        <w:tc>
          <w:tcPr>
            <w:tcW w:type="dxa" w:w="1008"/>
          </w:tcPr>
          <w:p>
            <w:pPr>
              <w:keepNext w:val="0"/>
              <w:spacing w:before="40" w:after="40" w:line="240" w:lineRule="auto"/>
            </w:pPr>
            <w:r>
              <w:rPr>
                <w:rFonts w:ascii="Arial" w:hAnsi="Arial" w:cs="Arial" w:eastAsia="Arial"/>
                <w:b w:val="0"/>
                <w:i w:val="0"/>
                <w:sz w:val="18"/>
                <w:highlight w:val="yellow"/>
              </w:rPr>
              <w:t>&lt;Owner&gt;</w:t>
            </w:r>
          </w:p>
        </w:tc>
        <w:tc>
          <w:tcPr>
            <w:tcW w:type="dxa" w:w="864"/>
          </w:tcPr>
          <w:p>
            <w:pPr>
              <w:keepNext w:val="0"/>
              <w:spacing w:before="40" w:after="40" w:line="240" w:lineRule="auto"/>
            </w:pPr>
            <w:r>
              <w:rPr>
                <w:rFonts w:ascii="Arial" w:hAnsi="Arial" w:cs="Arial" w:eastAsia="Arial"/>
                <w:b w:val="0"/>
                <w:i w:val="0"/>
                <w:sz w:val="18"/>
                <w:highlight w:val="yellow"/>
              </w:rPr>
              <w:t>&lt;Date&gt;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7.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 xml:space="preserve">Actionable threats with an action raised within </w:t>
            </w:r>
            <w:sdt>
              <w:sdtPr>
                <w:alias w:val="2 working days"/>
                <w:tag w:val="27.t5.r0.c0"/>
              </w:sdtPr>
              <w:sdtContent>
                <w:r>
                  <w:rPr>
                    <w:rFonts w:ascii="Arial" w:hAnsi="Arial" w:cs="Arial" w:eastAsia="Arial"/>
                    <w:b w:val="0"/>
                    <w:i w:val="0"/>
                    <w:sz w:val="18"/>
                    <w:highlight w:val="yellow"/>
                  </w:rPr>
                  <w:t>&lt;2 working days&gt;</w:t>
                </w:r>
              </w:sdtContent>
            </w:sdt>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Intelligence reports shared with SAMA when relevant</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3.3.16.1</w:t>
            </w:r>
          </w:p>
        </w:tc>
        <w:tc>
          <w:tcPr>
            <w:tcW w:type="dxa" w:w="7920"/>
          </w:tcPr>
          <w:p>
            <w:pPr>
              <w:keepNext w:val="0"/>
              <w:spacing w:before="40" w:after="40" w:line="240" w:lineRule="auto"/>
            </w:pPr>
            <w:r>
              <w:rPr>
                <w:rFonts w:ascii="Arial" w:hAnsi="Arial" w:cs="Arial" w:eastAsia="Arial"/>
                <w:b w:val="0"/>
                <w:i w:val="0"/>
                <w:sz w:val="18"/>
              </w:rPr>
              <w:t>Process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3.3.16.2</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3.3.16.3</w:t>
            </w:r>
          </w:p>
        </w:tc>
        <w:tc>
          <w:tcPr>
            <w:tcW w:type="dxa" w:w="7920"/>
          </w:tcPr>
          <w:p>
            <w:pPr>
              <w:keepNext w:val="0"/>
              <w:spacing w:before="40" w:after="40" w:line="240" w:lineRule="auto"/>
            </w:pPr>
            <w:r>
              <w:rPr>
                <w:rFonts w:ascii="Arial" w:hAnsi="Arial" w:cs="Arial" w:eastAsia="Arial"/>
                <w:b w:val="0"/>
                <w:i w:val="0"/>
                <w:sz w:val="18"/>
              </w:rPr>
              <w:t>Internal and external sources, a method to analyse, threat details, relevance, sharing</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Threat Intelligence Management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Management</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