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Contract and Vendor Management</w:t>
      </w:r>
    </w:p>
    <w:p>
      <w:pPr>
        <w:keepNext w:val="0"/>
        <w:spacing w:before="0" w:after="200" w:line="240" w:lineRule="auto"/>
      </w:pPr>
      <w:r>
        <w:rPr>
          <w:rFonts w:ascii="Arial" w:hAnsi="Arial" w:cs="Arial" w:eastAsia="Arial"/>
          <w:b w:val="0"/>
          <w:i w:val="0"/>
          <w:color w:val="5B6678"/>
          <w:sz w:val="21"/>
        </w:rPr>
        <w:t>Security requirements before, during and at the end of a contract with a vendor.</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SAMA-29</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makes security part of contract and vendor management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Security requirements are settled before a contract is signed and checked through its life.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contract and every vendor who handles, processes, stores or can reach the organisation's information or systems.</w:t>
      </w:r>
    </w:p>
    <w:p>
      <w:pPr>
        <w:keepNext/>
        <w:spacing w:before="280" w:after="120" w:line="264" w:lineRule="auto"/>
      </w:pPr>
      <w:r>
        <w:rPr>
          <w:rFonts w:ascii="Arial" w:hAnsi="Arial" w:cs="Arial" w:eastAsia="Arial"/>
          <w:b/>
          <w:i w:val="0"/>
          <w:color w:val="1B253B"/>
          <w:sz w:val="28"/>
        </w:rPr>
        <w:t>3. When the cyber security function must be involved</w:t>
      </w:r>
    </w:p>
    <w:p>
      <w:pPr>
        <w:pStyle w:val="ListBullet"/>
        <w:keepNext w:val="0"/>
        <w:spacing w:before="0" w:after="60" w:line="276" w:lineRule="auto"/>
        <w:ind w:left="432" w:hanging="288"/>
      </w:pPr>
      <w:r>
        <w:rPr>
          <w:rFonts w:ascii="Arial" w:hAnsi="Arial" w:cs="Arial" w:eastAsia="Arial"/>
          <w:b w:val="0"/>
          <w:i w:val="0"/>
          <w:sz w:val="21"/>
        </w:rPr>
        <w:t>In due diligence, before a vendor is chosen.</w:t>
      </w:r>
    </w:p>
    <w:p>
      <w:pPr>
        <w:pStyle w:val="ListBullet"/>
        <w:keepNext w:val="0"/>
        <w:spacing w:before="0" w:after="60" w:line="276" w:lineRule="auto"/>
        <w:ind w:left="432" w:hanging="288"/>
      </w:pPr>
      <w:r>
        <w:rPr>
          <w:rFonts w:ascii="Arial" w:hAnsi="Arial" w:cs="Arial" w:eastAsia="Arial"/>
          <w:b w:val="0"/>
          <w:i w:val="0"/>
          <w:sz w:val="21"/>
        </w:rPr>
        <w:t>When a tender is written and when the answers are evaluated.</w:t>
      </w:r>
    </w:p>
    <w:p>
      <w:pPr>
        <w:pStyle w:val="ListBullet"/>
        <w:keepNext w:val="0"/>
        <w:spacing w:before="0" w:after="60" w:line="276" w:lineRule="auto"/>
        <w:ind w:left="432" w:hanging="288"/>
      </w:pPr>
      <w:r>
        <w:rPr>
          <w:rFonts w:ascii="Arial" w:hAnsi="Arial" w:cs="Arial" w:eastAsia="Arial"/>
          <w:b w:val="0"/>
          <w:i w:val="0"/>
          <w:sz w:val="21"/>
        </w:rPr>
        <w:t>When a contract is signed, changed, renewed or ended.</w:t>
      </w:r>
    </w:p>
    <w:p>
      <w:pPr>
        <w:pStyle w:val="ListBullet"/>
        <w:keepNext w:val="0"/>
        <w:spacing w:before="0" w:after="60" w:line="276" w:lineRule="auto"/>
        <w:ind w:left="432" w:hanging="288"/>
      </w:pPr>
      <w:r>
        <w:rPr>
          <w:rFonts w:ascii="Arial" w:hAnsi="Arial" w:cs="Arial" w:eastAsia="Arial"/>
          <w:b w:val="0"/>
          <w:i w:val="0"/>
          <w:sz w:val="21"/>
        </w:rPr>
        <w:t>After any security incident at the vendor.</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Baseline security requirements</w:t>
      </w:r>
    </w:p>
    <w:p>
      <w:pPr>
        <w:keepNext w:val="0"/>
        <w:spacing w:before="0" w:after="120" w:line="276" w:lineRule="auto"/>
      </w:pPr>
      <w:r>
        <w:rPr>
          <w:rFonts w:ascii="Arial" w:hAnsi="Arial" w:cs="Arial" w:eastAsia="Arial"/>
          <w:b w:val="0"/>
          <w:i w:val="0"/>
          <w:sz w:val="21"/>
        </w:rPr>
        <w:t>These apply to every contract that handles information, whatever the vendor or the size:</w:t>
      </w:r>
    </w:p>
    <w:p>
      <w:pPr>
        <w:pStyle w:val="ListBullet"/>
        <w:keepNext w:val="0"/>
        <w:spacing w:before="0" w:after="60" w:line="276" w:lineRule="auto"/>
        <w:ind w:left="432" w:hanging="288"/>
      </w:pPr>
      <w:r>
        <w:rPr>
          <w:rFonts w:ascii="Arial" w:hAnsi="Arial" w:cs="Arial" w:eastAsia="Arial"/>
          <w:b w:val="0"/>
          <w:i w:val="0"/>
          <w:sz w:val="21"/>
        </w:rPr>
        <w:t>Confidentiality, with a mutual confidentiality agreement.</w:t>
      </w:r>
    </w:p>
    <w:p>
      <w:pPr>
        <w:pStyle w:val="ListBullet"/>
        <w:keepNext w:val="0"/>
        <w:spacing w:before="0" w:after="60" w:line="276" w:lineRule="auto"/>
        <w:ind w:left="432" w:hanging="288"/>
      </w:pPr>
      <w:r>
        <w:rPr>
          <w:rFonts w:ascii="Arial" w:hAnsi="Arial" w:cs="Arial" w:eastAsia="Arial"/>
          <w:b w:val="0"/>
          <w:i w:val="0"/>
          <w:sz w:val="21"/>
        </w:rPr>
        <w:t>Compliance with the organisation's policy and with laws and regulations, including SAMA's requirements.</w:t>
      </w:r>
    </w:p>
    <w:p>
      <w:pPr>
        <w:pStyle w:val="ListBullet"/>
        <w:keepNext w:val="0"/>
        <w:spacing w:before="0" w:after="60" w:line="276" w:lineRule="auto"/>
        <w:ind w:left="432" w:hanging="288"/>
      </w:pPr>
      <w:r>
        <w:rPr>
          <w:rFonts w:ascii="Arial" w:hAnsi="Arial" w:cs="Arial" w:eastAsia="Arial"/>
          <w:b w:val="0"/>
          <w:i w:val="0"/>
          <w:sz w:val="21"/>
        </w:rPr>
        <w:t>Access limited to what is needed, with named people and strong authentication.</w:t>
      </w:r>
    </w:p>
    <w:p>
      <w:pPr>
        <w:pStyle w:val="ListBullet"/>
        <w:keepNext w:val="0"/>
        <w:spacing w:before="0" w:after="60" w:line="276" w:lineRule="auto"/>
        <w:ind w:left="432" w:hanging="288"/>
      </w:pPr>
      <w:r>
        <w:rPr>
          <w:rFonts w:ascii="Arial" w:hAnsi="Arial" w:cs="Arial" w:eastAsia="Arial"/>
          <w:b w:val="0"/>
          <w:i w:val="0"/>
          <w:sz w:val="21"/>
        </w:rPr>
        <w:t xml:space="preserve">Notification of incidents within </w:t>
      </w:r>
      <w:sdt>
        <w:sdtPr>
          <w:alias w:val="24 hours"/>
          <w:tag w:val="29.incident_notice"/>
        </w:sdtPr>
        <w:sdtContent>
          <w:r>
            <w:rPr>
              <w:rFonts w:ascii="Arial" w:hAnsi="Arial" w:cs="Arial" w:eastAsia="Arial"/>
              <w:b w:val="0"/>
              <w:i w:val="0"/>
              <w:sz w:val="21"/>
              <w:highlight w:val="yellow"/>
            </w:rPr>
            <w:t>&lt;24 hours&gt;</w:t>
          </w:r>
        </w:sdtContent>
      </w:sdt>
      <w:r>
        <w:rPr>
          <w:rFonts w:ascii="Arial" w:hAnsi="Arial" w:cs="Arial" w:eastAsia="Arial"/>
          <w:b w:val="0"/>
          <w:i w:val="0"/>
          <w:sz w:val="21"/>
        </w:rPr>
        <w:t>, and cooperation in the investigation.</w:t>
      </w:r>
    </w:p>
    <w:p>
      <w:pPr>
        <w:pStyle w:val="ListBullet"/>
        <w:keepNext w:val="0"/>
        <w:spacing w:before="0" w:after="60" w:line="276" w:lineRule="auto"/>
        <w:ind w:left="432" w:hanging="288"/>
      </w:pPr>
      <w:r>
        <w:rPr>
          <w:rFonts w:ascii="Arial" w:hAnsi="Arial" w:cs="Arial" w:eastAsia="Arial"/>
          <w:b w:val="0"/>
          <w:i w:val="0"/>
          <w:sz w:val="21"/>
        </w:rPr>
        <w:t>The organisation's right to carry out periodic security reviews and audits.</w:t>
      </w:r>
    </w:p>
    <w:p>
      <w:pPr>
        <w:pStyle w:val="ListBullet"/>
        <w:keepNext w:val="0"/>
        <w:spacing w:before="0" w:after="60" w:line="276" w:lineRule="auto"/>
        <w:ind w:left="432" w:hanging="288"/>
      </w:pPr>
      <w:r>
        <w:rPr>
          <w:rFonts w:ascii="Arial" w:hAnsi="Arial" w:cs="Arial" w:eastAsia="Arial"/>
          <w:b w:val="0"/>
          <w:i w:val="0"/>
          <w:sz w:val="21"/>
        </w:rPr>
        <w:t>Return and secure deletion of information at the end.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What contract management requires</w:t>
      </w:r>
    </w:p>
    <w:p>
      <w:pPr>
        <w:keepNext w:val="0"/>
        <w:spacing w:before="0" w:after="60" w:line="276" w:lineRule="auto"/>
        <w:ind w:left="504" w:hanging="403"/>
      </w:pPr>
      <w:r>
        <w:rPr>
          <w:rFonts w:ascii="Arial" w:hAnsi="Arial" w:cs="Arial" w:eastAsia="Arial"/>
          <w:b w:val="0"/>
          <w:i w:val="0"/>
          <w:sz w:val="21"/>
        </w:rPr>
        <w:t>1.  A security risk assessment during procurement.</w:t>
      </w:r>
    </w:p>
    <w:p>
      <w:pPr>
        <w:keepNext w:val="0"/>
        <w:spacing w:before="0" w:after="60" w:line="276" w:lineRule="auto"/>
        <w:ind w:left="504" w:hanging="403"/>
      </w:pPr>
      <w:r>
        <w:rPr>
          <w:rFonts w:ascii="Arial" w:hAnsi="Arial" w:cs="Arial" w:eastAsia="Arial"/>
          <w:b w:val="0"/>
          <w:i w:val="0"/>
          <w:sz w:val="21"/>
        </w:rPr>
        <w:t>2.  Specific security requirements in the tender.</w:t>
      </w:r>
    </w:p>
    <w:p>
      <w:pPr>
        <w:keepNext w:val="0"/>
        <w:spacing w:before="0" w:after="60" w:line="276" w:lineRule="auto"/>
        <w:ind w:left="504" w:hanging="403"/>
      </w:pPr>
      <w:r>
        <w:rPr>
          <w:rFonts w:ascii="Arial" w:hAnsi="Arial" w:cs="Arial" w:eastAsia="Arial"/>
          <w:b w:val="0"/>
          <w:i w:val="0"/>
          <w:sz w:val="21"/>
        </w:rPr>
        <w:t>3.  Evaluation of each vendor's answers to those requirements.</w:t>
      </w:r>
    </w:p>
    <w:p>
      <w:pPr>
        <w:keepNext w:val="0"/>
        <w:spacing w:before="0" w:after="60" w:line="276" w:lineRule="auto"/>
        <w:ind w:left="504" w:hanging="403"/>
      </w:pPr>
      <w:r>
        <w:rPr>
          <w:rFonts w:ascii="Arial" w:hAnsi="Arial" w:cs="Arial" w:eastAsia="Arial"/>
          <w:b w:val="0"/>
          <w:i w:val="0"/>
          <w:sz w:val="21"/>
        </w:rPr>
        <w:t>4.  Risk-based testing of the agreed requirements before go-live.</w:t>
      </w:r>
    </w:p>
    <w:p>
      <w:pPr>
        <w:keepNext w:val="0"/>
        <w:spacing w:before="0" w:after="60" w:line="276" w:lineRule="auto"/>
        <w:ind w:left="504" w:hanging="403"/>
      </w:pPr>
      <w:r>
        <w:rPr>
          <w:rFonts w:ascii="Arial" w:hAnsi="Arial" w:cs="Arial" w:eastAsia="Arial"/>
          <w:b w:val="0"/>
          <w:i w:val="0"/>
          <w:sz w:val="21"/>
        </w:rPr>
        <w:t>5.  An escalation process for security incidents.</w:t>
      </w:r>
    </w:p>
    <w:p>
      <w:pPr>
        <w:keepNext w:val="0"/>
        <w:spacing w:before="0" w:after="60" w:line="276" w:lineRule="auto"/>
        <w:ind w:left="504" w:hanging="403"/>
      </w:pPr>
      <w:r>
        <w:rPr>
          <w:rFonts w:ascii="Arial" w:hAnsi="Arial" w:cs="Arial" w:eastAsia="Arial"/>
          <w:b w:val="0"/>
          <w:i w:val="0"/>
          <w:sz w:val="21"/>
        </w:rPr>
        <w:t>6.  Security requirements for exit, termination or renewal, including escrow where relevant.</w:t>
      </w:r>
    </w:p>
    <w:p>
      <w:pPr>
        <w:keepNext w:val="0"/>
        <w:spacing w:before="0" w:after="60" w:line="276" w:lineRule="auto"/>
        <w:ind w:left="504" w:hanging="403"/>
      </w:pPr>
      <w:r>
        <w:rPr>
          <w:rFonts w:ascii="Arial" w:hAnsi="Arial" w:cs="Arial" w:eastAsia="Arial"/>
          <w:b w:val="0"/>
          <w:i w:val="0"/>
          <w:sz w:val="21"/>
        </w:rPr>
        <w:t>7.  A mutual confidentiality agreement.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Managing vendors through the contract</w:t>
      </w:r>
    </w:p>
    <w:p>
      <w:pPr>
        <w:keepNext w:val="0"/>
        <w:spacing w:before="0" w:after="120" w:line="276" w:lineRule="auto"/>
      </w:pPr>
      <w:r>
        <w:rPr>
          <w:rFonts w:ascii="Arial" w:hAnsi="Arial" w:cs="Arial" w:eastAsia="Arial"/>
          <w:b w:val="0"/>
          <w:i w:val="0"/>
          <w:sz w:val="21"/>
        </w:rPr>
        <w:t>Vendor management, through service level management, includes periodic reporting, review and evaluation of the security requirements agreed in the contract.</w:t>
      </w:r>
    </w:p>
    <w:tbl>
      <w:tblPr>
        <w:tblStyle w:val="TableGrid"/>
        <w:tblW w:type="auto" w:w="0"/>
        <w:jc w:val="center"/>
        <w:tblLayout w:type="fixed"/>
        <w:tblLook w:firstColumn="1" w:firstRow="1" w:lastColumn="0" w:lastRow="0" w:noHBand="0" w:noVBand="1" w:val="04A0"/>
        <w:tblCaption w:val="source:vendors"/>
      </w:tblPr>
      <w:tblGrid>
        <w:gridCol w:w="1835"/>
        <w:gridCol w:w="1835"/>
        <w:gridCol w:w="1835"/>
        <w:gridCol w:w="1835"/>
        <w:gridCol w:w="1835"/>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Vendor</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Service</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Criticality</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Assurance</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Next review</w:t>
            </w:r>
          </w:p>
        </w:tc>
      </w:tr>
      <w:tr>
        <w:trPr>
          <w:cantSplit w:val="true"/>
        </w:trPr>
        <w:tc>
          <w:tcPr>
            <w:tcW w:type="dxa" w:w="2304"/>
          </w:tcPr>
          <w:p>
            <w:pPr>
              <w:keepNext w:val="0"/>
              <w:spacing w:before="40" w:after="40" w:line="240" w:lineRule="auto"/>
            </w:pPr>
            <w:r>
              <w:rPr>
                <w:rFonts w:ascii="Arial" w:hAnsi="Arial" w:cs="Arial" w:eastAsia="Arial"/>
                <w:b w:val="0"/>
                <w:i w:val="0"/>
                <w:sz w:val="18"/>
                <w:highlight w:val="yellow"/>
              </w:rPr>
              <w:t>&lt;Vendor&gt;</w:t>
            </w:r>
          </w:p>
        </w:tc>
        <w:tc>
          <w:tcPr>
            <w:tcW w:type="dxa" w:w="2304"/>
          </w:tcPr>
          <w:p>
            <w:pPr>
              <w:keepNext w:val="0"/>
              <w:spacing w:before="40" w:after="40" w:line="240" w:lineRule="auto"/>
            </w:pPr>
            <w:r>
              <w:rPr>
                <w:rFonts w:ascii="Arial" w:hAnsi="Arial" w:cs="Arial" w:eastAsia="Arial"/>
                <w:b w:val="0"/>
                <w:i w:val="0"/>
                <w:sz w:val="18"/>
                <w:highlight w:val="yellow"/>
              </w:rPr>
              <w:t>&lt;Service&gt;</w:t>
            </w:r>
          </w:p>
        </w:tc>
        <w:tc>
          <w:tcPr>
            <w:tcW w:type="dxa" w:w="1296"/>
          </w:tcPr>
          <w:p>
            <w:pPr>
              <w:keepNext w:val="0"/>
              <w:spacing w:before="40" w:after="40" w:line="240" w:lineRule="auto"/>
            </w:pPr>
            <w:r>
              <w:rPr>
                <w:rFonts w:ascii="Arial" w:hAnsi="Arial" w:cs="Arial" w:eastAsia="Arial"/>
                <w:b w:val="0"/>
                <w:i w:val="0"/>
                <w:sz w:val="18"/>
                <w:highlight w:val="yellow"/>
              </w:rPr>
              <w:t>&lt;Criticality&gt;</w:t>
            </w:r>
          </w:p>
        </w:tc>
        <w:tc>
          <w:tcPr>
            <w:tcW w:type="dxa" w:w="2016"/>
          </w:tcPr>
          <w:p>
            <w:pPr>
              <w:keepNext w:val="0"/>
              <w:spacing w:before="40" w:after="40" w:line="240" w:lineRule="auto"/>
            </w:pPr>
            <w:r>
              <w:rPr>
                <w:rFonts w:ascii="Arial" w:hAnsi="Arial" w:cs="Arial" w:eastAsia="Arial"/>
                <w:b w:val="0"/>
                <w:i w:val="0"/>
                <w:sz w:val="18"/>
                <w:highlight w:val="yellow"/>
              </w:rPr>
              <w:t>&lt;Assurance&gt;</w:t>
            </w:r>
          </w:p>
        </w:tc>
        <w:tc>
          <w:tcPr>
            <w:tcW w:type="dxa" w:w="1296"/>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Roles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880"/>
            <w:shd w:val="clear" w:color="auto" w:fill="DCE6F5"/>
          </w:tcPr>
          <w:p>
            <w:pPr>
              <w:keepNext w:val="0"/>
              <w:spacing w:before="40" w:after="40" w:line="240" w:lineRule="auto"/>
            </w:pPr>
            <w:r>
              <w:rPr>
                <w:rFonts w:ascii="Arial" w:hAnsi="Arial" w:cs="Arial" w:eastAsia="Arial"/>
                <w:b/>
                <w:i w:val="0"/>
                <w:color w:val="1B253B"/>
                <w:sz w:val="18"/>
              </w:rPr>
              <w:t>Who</w:t>
            </w:r>
          </w:p>
        </w:tc>
        <w:tc>
          <w:tcPr>
            <w:tcW w:type="dxa" w:w="6336"/>
            <w:shd w:val="clear" w:color="auto" w:fill="DCE6F5"/>
          </w:tcPr>
          <w:p>
            <w:pPr>
              <w:keepNext w:val="0"/>
              <w:spacing w:before="40" w:after="40" w:line="240" w:lineRule="auto"/>
            </w:pPr>
            <w:r>
              <w:rPr>
                <w:rFonts w:ascii="Arial" w:hAnsi="Arial" w:cs="Arial" w:eastAsia="Arial"/>
                <w:b/>
                <w:i w:val="0"/>
                <w:color w:val="1B253B"/>
                <w:sz w:val="18"/>
              </w:rPr>
              <w:t>Responsibility</w:t>
            </w:r>
          </w:p>
        </w:tc>
      </w:tr>
      <w:tr>
        <w:trPr>
          <w:cantSplit w:val="true"/>
        </w:trPr>
        <w:tc>
          <w:tcPr>
            <w:tcW w:type="dxa" w:w="2880"/>
          </w:tcPr>
          <w:p>
            <w:pPr>
              <w:keepNext w:val="0"/>
              <w:spacing w:before="40" w:after="40" w:line="240" w:lineRule="auto"/>
            </w:pPr>
            <w:r>
              <w:rPr>
                <w:rFonts w:ascii="Arial" w:hAnsi="Arial" w:cs="Arial" w:eastAsia="Arial"/>
                <w:b w:val="0"/>
                <w:i w:val="0"/>
                <w:sz w:val="18"/>
              </w:rPr>
              <w:t>Procurement</w:t>
            </w:r>
          </w:p>
        </w:tc>
        <w:tc>
          <w:tcPr>
            <w:tcW w:type="dxa" w:w="6336"/>
          </w:tcPr>
          <w:p>
            <w:pPr>
              <w:keepNext w:val="0"/>
              <w:spacing w:before="40" w:after="40" w:line="240" w:lineRule="auto"/>
            </w:pPr>
            <w:r>
              <w:rPr>
                <w:rFonts w:ascii="Arial" w:hAnsi="Arial" w:cs="Arial" w:eastAsia="Arial"/>
                <w:b w:val="0"/>
                <w:i w:val="0"/>
                <w:sz w:val="18"/>
              </w:rPr>
              <w:t>Runs the process, and does not sign until cyber security has approved.</w:t>
            </w:r>
          </w:p>
        </w:tc>
      </w:tr>
      <w:tr>
        <w:trPr>
          <w:cantSplit w:val="true"/>
        </w:trPr>
        <w:tc>
          <w:tcPr>
            <w:tcW w:type="dxa" w:w="2880"/>
          </w:tcPr>
          <w:p>
            <w:pPr>
              <w:keepNext w:val="0"/>
              <w:spacing w:before="40" w:after="40" w:line="240" w:lineRule="auto"/>
            </w:pPr>
            <w:r>
              <w:rPr>
                <w:rFonts w:ascii="Arial" w:hAnsi="Arial" w:cs="Arial" w:eastAsia="Arial"/>
                <w:b w:val="0"/>
                <w:i w:val="0"/>
                <w:sz w:val="18"/>
              </w:rPr>
              <w:t>Business owner of the service</w:t>
            </w:r>
          </w:p>
        </w:tc>
        <w:tc>
          <w:tcPr>
            <w:tcW w:type="dxa" w:w="6336"/>
          </w:tcPr>
          <w:p>
            <w:pPr>
              <w:keepNext w:val="0"/>
              <w:spacing w:before="40" w:after="40" w:line="240" w:lineRule="auto"/>
            </w:pPr>
            <w:r>
              <w:rPr>
                <w:rFonts w:ascii="Arial" w:hAnsi="Arial" w:cs="Arial" w:eastAsia="Arial"/>
                <w:b w:val="0"/>
                <w:i w:val="0"/>
                <w:sz w:val="18"/>
              </w:rPr>
              <w:t>Owns the relationship and the risk, and receives the reports.</w:t>
            </w:r>
          </w:p>
        </w:tc>
      </w:tr>
      <w:tr>
        <w:trPr>
          <w:cantSplit w:val="true"/>
        </w:trPr>
        <w:tc>
          <w:tcPr>
            <w:tcW w:type="dxa" w:w="2880"/>
          </w:tcPr>
          <w:p>
            <w:pPr>
              <w:keepNext w:val="0"/>
              <w:spacing w:before="40" w:after="40" w:line="240" w:lineRule="auto"/>
            </w:pPr>
            <w:r>
              <w:rPr>
                <w:rFonts w:ascii="Arial" w:hAnsi="Arial" w:cs="Arial" w:eastAsia="Arial"/>
                <w:b w:val="0"/>
                <w:i w:val="0"/>
                <w:sz w:val="18"/>
              </w:rPr>
              <w:t>The CISO's team</w:t>
            </w:r>
          </w:p>
        </w:tc>
        <w:tc>
          <w:tcPr>
            <w:tcW w:type="dxa" w:w="6336"/>
          </w:tcPr>
          <w:p>
            <w:pPr>
              <w:keepNext w:val="0"/>
              <w:spacing w:before="40" w:after="40" w:line="240" w:lineRule="auto"/>
            </w:pPr>
            <w:r>
              <w:rPr>
                <w:rFonts w:ascii="Arial" w:hAnsi="Arial" w:cs="Arial" w:eastAsia="Arial"/>
                <w:b w:val="0"/>
                <w:i w:val="0"/>
                <w:sz w:val="18"/>
              </w:rPr>
              <w:t>Does the risk assessment, sets and tests the requirements, and monitors.</w:t>
            </w:r>
          </w:p>
        </w:tc>
      </w:tr>
      <w:tr>
        <w:trPr>
          <w:cantSplit w:val="true"/>
        </w:trPr>
        <w:tc>
          <w:tcPr>
            <w:tcW w:type="dxa" w:w="2880"/>
          </w:tcPr>
          <w:p>
            <w:pPr>
              <w:keepNext w:val="0"/>
              <w:spacing w:before="40" w:after="40" w:line="240" w:lineRule="auto"/>
            </w:pPr>
            <w:r>
              <w:rPr>
                <w:rFonts w:ascii="Arial" w:hAnsi="Arial" w:cs="Arial" w:eastAsia="Arial"/>
                <w:b w:val="0"/>
                <w:i w:val="0"/>
                <w:sz w:val="18"/>
              </w:rPr>
              <w:t>Legal</w:t>
            </w:r>
          </w:p>
        </w:tc>
        <w:tc>
          <w:tcPr>
            <w:tcW w:type="dxa" w:w="6336"/>
          </w:tcPr>
          <w:p>
            <w:pPr>
              <w:keepNext w:val="0"/>
              <w:spacing w:before="40" w:after="40" w:line="240" w:lineRule="auto"/>
            </w:pPr>
            <w:r>
              <w:rPr>
                <w:rFonts w:ascii="Arial" w:hAnsi="Arial" w:cs="Arial" w:eastAsia="Arial"/>
                <w:b w:val="0"/>
                <w:i w:val="0"/>
                <w:sz w:val="18"/>
              </w:rPr>
              <w:t>Puts the requirements in the contract.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9.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Critical vendors reviewed on schedule</w:t>
            </w:r>
          </w:p>
        </w:tc>
        <w:tc>
          <w:tcPr>
            <w:tcW w:type="dxa" w:w="2592"/>
          </w:tcPr>
          <w:p>
            <w:pPr>
              <w:keepNext w:val="0"/>
              <w:spacing w:before="40" w:after="40" w:line="240" w:lineRule="auto"/>
            </w:pPr>
            <w:sdt>
              <w:sdtPr>
                <w:alias w:val="100%"/>
                <w:tag w:val="29.t5.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Contracts with the baseline security clauses</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3.4.1.1</w:t>
            </w:r>
          </w:p>
        </w:tc>
        <w:tc>
          <w:tcPr>
            <w:tcW w:type="dxa" w:w="7920"/>
          </w:tcPr>
          <w:p>
            <w:pPr>
              <w:keepNext w:val="0"/>
              <w:spacing w:before="40" w:after="40" w:line="240" w:lineRule="auto"/>
            </w:pPr>
            <w:r>
              <w:rPr>
                <w:rFonts w:ascii="Arial" w:hAnsi="Arial" w:cs="Arial" w:eastAsia="Arial"/>
                <w:b w:val="0"/>
                <w:i w:val="0"/>
                <w:sz w:val="18"/>
              </w:rPr>
              <w:t>Security requirements defined, approved, implemented and communicated</w:t>
            </w:r>
          </w:p>
        </w:tc>
      </w:tr>
      <w:tr>
        <w:trPr>
          <w:cantSplit w:val="true"/>
        </w:trPr>
        <w:tc>
          <w:tcPr>
            <w:tcW w:type="dxa" w:w="1296"/>
          </w:tcPr>
          <w:p>
            <w:pPr>
              <w:keepNext w:val="0"/>
              <w:spacing w:before="40" w:after="40" w:line="240" w:lineRule="auto"/>
            </w:pPr>
            <w:r>
              <w:rPr>
                <w:rFonts w:ascii="Arial" w:hAnsi="Arial" w:cs="Arial" w:eastAsia="Arial"/>
                <w:b w:val="0"/>
                <w:i w:val="0"/>
                <w:sz w:val="18"/>
              </w:rPr>
              <w:t>3.4.1.2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3.4.1.3</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3.4.1.4</w:t>
            </w:r>
          </w:p>
        </w:tc>
        <w:tc>
          <w:tcPr>
            <w:tcW w:type="dxa" w:w="7920"/>
          </w:tcPr>
          <w:p>
            <w:pPr>
              <w:keepNext w:val="0"/>
              <w:spacing w:before="40" w:after="40" w:line="240" w:lineRule="auto"/>
            </w:pPr>
            <w:r>
              <w:rPr>
                <w:rFonts w:ascii="Arial" w:hAnsi="Arial" w:cs="Arial" w:eastAsia="Arial"/>
                <w:b w:val="0"/>
                <w:i w:val="0"/>
                <w:sz w:val="18"/>
              </w:rPr>
              <w:t>Involvement of cyber security, baseline requirements, right to review and audit</w:t>
            </w:r>
          </w:p>
        </w:tc>
      </w:tr>
      <w:tr>
        <w:trPr>
          <w:cantSplit w:val="true"/>
        </w:trPr>
        <w:tc>
          <w:tcPr>
            <w:tcW w:type="dxa" w:w="1296"/>
          </w:tcPr>
          <w:p>
            <w:pPr>
              <w:keepNext w:val="0"/>
              <w:spacing w:before="40" w:after="40" w:line="240" w:lineRule="auto"/>
            </w:pPr>
            <w:r>
              <w:rPr>
                <w:rFonts w:ascii="Arial" w:hAnsi="Arial" w:cs="Arial" w:eastAsia="Arial"/>
                <w:b w:val="0"/>
                <w:i w:val="0"/>
                <w:sz w:val="18"/>
              </w:rPr>
              <w:t>3.4.1.5</w:t>
            </w:r>
          </w:p>
        </w:tc>
        <w:tc>
          <w:tcPr>
            <w:tcW w:type="dxa" w:w="7920"/>
          </w:tcPr>
          <w:p>
            <w:pPr>
              <w:keepNext w:val="0"/>
              <w:spacing w:before="40" w:after="40" w:line="240" w:lineRule="auto"/>
            </w:pPr>
            <w:r>
              <w:rPr>
                <w:rFonts w:ascii="Arial" w:hAnsi="Arial" w:cs="Arial" w:eastAsia="Arial"/>
                <w:b w:val="0"/>
                <w:i w:val="0"/>
                <w:sz w:val="18"/>
              </w:rPr>
              <w:t>Risk assessment, tender requirements, evaluation, testing, escalation, exit, confidentiality agreement</w:t>
            </w:r>
          </w:p>
        </w:tc>
      </w:tr>
      <w:tr>
        <w:trPr>
          <w:cantSplit w:val="true"/>
        </w:trPr>
        <w:tc>
          <w:tcPr>
            <w:tcW w:type="dxa" w:w="1296"/>
          </w:tcPr>
          <w:p>
            <w:pPr>
              <w:keepNext w:val="0"/>
              <w:spacing w:before="40" w:after="40" w:line="240" w:lineRule="auto"/>
            </w:pPr>
            <w:r>
              <w:rPr>
                <w:rFonts w:ascii="Arial" w:hAnsi="Arial" w:cs="Arial" w:eastAsia="Arial"/>
                <w:b w:val="0"/>
                <w:i w:val="0"/>
                <w:sz w:val="18"/>
              </w:rPr>
              <w:t>3.4.1.6</w:t>
            </w:r>
          </w:p>
        </w:tc>
        <w:tc>
          <w:tcPr>
            <w:tcW w:type="dxa" w:w="7920"/>
          </w:tcPr>
          <w:p>
            <w:pPr>
              <w:keepNext w:val="0"/>
              <w:spacing w:before="40" w:after="40" w:line="240" w:lineRule="auto"/>
            </w:pPr>
            <w:r>
              <w:rPr>
                <w:rFonts w:ascii="Arial" w:hAnsi="Arial" w:cs="Arial" w:eastAsia="Arial"/>
                <w:b w:val="0"/>
                <w:i w:val="0"/>
                <w:sz w:val="18"/>
              </w:rPr>
              <w:t>Vendor security performance reviewed through service levels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Contract and Vendor Management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and Vendor Management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