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Outsourcing Policy</w:t>
      </w:r>
    </w:p>
    <w:p>
      <w:pPr>
        <w:keepNext w:val="0"/>
        <w:spacing w:before="0" w:after="200" w:line="240" w:lineRule="auto"/>
      </w:pPr>
      <w:r>
        <w:rPr>
          <w:rFonts w:ascii="Arial" w:hAnsi="Arial" w:cs="Arial" w:eastAsia="Arial"/>
          <w:b w:val="0"/>
          <w:i w:val="0"/>
          <w:color w:val="5B6678"/>
          <w:sz w:val="21"/>
        </w:rPr>
        <w:t>Security requirements before, during and after outsourcing, including SAMA's approval.</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SAMA-30</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policy sets the security requirements that must be met before, during and at the end of any outsourcing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Any arrangement in which another party performs, for the organisation, a function or service that involves its information assets or its regulated activities.</w:t>
      </w:r>
    </w:p>
    <w:p>
      <w:pPr>
        <w:keepNext/>
        <w:spacing w:before="280" w:after="120" w:line="264" w:lineRule="auto"/>
      </w:pPr>
      <w:r>
        <w:rPr>
          <w:rFonts w:ascii="Arial" w:hAnsi="Arial" w:cs="Arial" w:eastAsia="Arial"/>
          <w:b/>
          <w:i w:val="0"/>
          <w:color w:val="1B253B"/>
          <w:sz w:val="28"/>
        </w:rPr>
        <w:t>3. Before outsourcing</w:t>
      </w:r>
    </w:p>
    <w:p>
      <w:pPr>
        <w:keepNext w:val="0"/>
        <w:spacing w:before="0" w:after="60" w:line="276" w:lineRule="auto"/>
        <w:ind w:left="504" w:hanging="403"/>
      </w:pPr>
      <w:r>
        <w:rPr>
          <w:rFonts w:ascii="Arial" w:hAnsi="Arial" w:cs="Arial" w:eastAsia="Arial"/>
          <w:b w:val="0"/>
          <w:i w:val="0"/>
          <w:sz w:val="21"/>
        </w:rPr>
        <w:t>1.  The business owner states what is to be outsourced, and why.</w:t>
      </w:r>
    </w:p>
    <w:p>
      <w:pPr>
        <w:keepNext w:val="0"/>
        <w:spacing w:before="0" w:after="60" w:line="276" w:lineRule="auto"/>
        <w:ind w:left="504" w:hanging="403"/>
      </w:pPr>
      <w:r>
        <w:rPr>
          <w:rFonts w:ascii="Arial" w:hAnsi="Arial" w:cs="Arial" w:eastAsia="Arial"/>
          <w:b w:val="0"/>
          <w:i w:val="0"/>
          <w:sz w:val="21"/>
        </w:rPr>
        <w:t>2.  The cyber security function is involved from the start (SAMA-29).</w:t>
      </w:r>
    </w:p>
    <w:p>
      <w:pPr>
        <w:keepNext w:val="0"/>
        <w:spacing w:before="0" w:after="60" w:line="276" w:lineRule="auto"/>
        <w:ind w:left="504" w:hanging="403"/>
      </w:pPr>
      <w:r>
        <w:rPr>
          <w:rFonts w:ascii="Arial" w:hAnsi="Arial" w:cs="Arial" w:eastAsia="Arial"/>
          <w:b w:val="0"/>
          <w:i w:val="0"/>
          <w:sz w:val="21"/>
        </w:rPr>
        <w:t>3.  A risk assessment and due diligence are done on the provider (SAMA-08).</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For any material outsourcing, SAMA's approval is obtained before the organisation goes ahead.</w:t>
      </w:r>
      <w:r>
        <w:rPr>
          <w:rFonts w:ascii="Arial" w:hAnsi="Arial" w:cs="Arial" w:eastAsia="Arial"/>
          <w:b w:val="0"/>
          <w:i w:val="0"/>
          <w:sz w:val="21"/>
        </w:rPr>
        <w:t xml:space="preserve"> The SAMA circular on outsourcing is followed.</w:t>
      </w:r>
    </w:p>
    <w:p>
      <w:pPr>
        <w:keepNext w:val="0"/>
        <w:spacing w:before="0" w:after="60" w:line="276" w:lineRule="auto"/>
        <w:ind w:left="504" w:hanging="403"/>
      </w:pPr>
      <w:r>
        <w:rPr>
          <w:rFonts w:ascii="Arial" w:hAnsi="Arial" w:cs="Arial" w:eastAsia="Arial"/>
          <w:b w:val="0"/>
          <w:i w:val="0"/>
          <w:sz w:val="21"/>
        </w:rPr>
        <w:t>5.  A contract with the security requirements is signed before the service starts.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During outsourcing</w:t>
      </w:r>
    </w:p>
    <w:p>
      <w:pPr>
        <w:pStyle w:val="ListBullet"/>
        <w:keepNext w:val="0"/>
        <w:spacing w:before="0" w:after="60" w:line="276" w:lineRule="auto"/>
        <w:ind w:left="432" w:hanging="288"/>
      </w:pPr>
      <w:r>
        <w:rPr>
          <w:rFonts w:ascii="Arial" w:hAnsi="Arial" w:cs="Arial" w:eastAsia="Arial"/>
          <w:b w:val="0"/>
          <w:i w:val="0"/>
          <w:sz w:val="21"/>
        </w:rPr>
        <w:t>The provider meets the organisation's security requirements and the SAMA framework where it applies.</w:t>
      </w:r>
    </w:p>
    <w:p>
      <w:pPr>
        <w:pStyle w:val="ListBullet"/>
        <w:keepNext w:val="0"/>
        <w:spacing w:before="0" w:after="60" w:line="276" w:lineRule="auto"/>
        <w:ind w:left="432" w:hanging="288"/>
      </w:pPr>
      <w:r>
        <w:rPr>
          <w:rFonts w:ascii="Arial" w:hAnsi="Arial" w:cs="Arial" w:eastAsia="Arial"/>
          <w:b w:val="0"/>
          <w:i w:val="0"/>
          <w:sz w:val="21"/>
        </w:rPr>
        <w:t>Service levels, reports and security reviews are used to monitor the provider.</w:t>
      </w:r>
    </w:p>
    <w:p>
      <w:pPr>
        <w:pStyle w:val="ListBullet"/>
        <w:keepNext w:val="0"/>
        <w:spacing w:before="0" w:after="60" w:line="276" w:lineRule="auto"/>
        <w:ind w:left="432" w:hanging="288"/>
      </w:pPr>
      <w:r>
        <w:rPr>
          <w:rFonts w:ascii="Arial" w:hAnsi="Arial" w:cs="Arial" w:eastAsia="Arial"/>
          <w:b w:val="0"/>
          <w:i w:val="0"/>
          <w:sz w:val="21"/>
        </w:rPr>
        <w:t>Any significant change at the provider is reported and assessed.</w:t>
      </w:r>
    </w:p>
    <w:p>
      <w:pPr>
        <w:pStyle w:val="ListBullet"/>
        <w:keepNext w:val="0"/>
        <w:spacing w:before="0" w:after="60" w:line="276" w:lineRule="auto"/>
        <w:ind w:left="432" w:hanging="288"/>
      </w:pPr>
      <w:r>
        <w:rPr>
          <w:rFonts w:ascii="Arial" w:hAnsi="Arial" w:cs="Arial" w:eastAsia="Arial"/>
          <w:b w:val="0"/>
          <w:i w:val="0"/>
          <w:sz w:val="21"/>
        </w:rPr>
        <w:t>Incidents at the provider are reported to the organisation, as the contract says.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At the end</w:t>
      </w:r>
    </w:p>
    <w:p>
      <w:pPr>
        <w:keepNext w:val="0"/>
        <w:spacing w:before="0" w:after="120" w:line="276" w:lineRule="auto"/>
      </w:pPr>
      <w:r>
        <w:rPr>
          <w:rFonts w:ascii="Arial" w:hAnsi="Arial" w:cs="Arial" w:eastAsia="Arial"/>
          <w:b w:val="0"/>
          <w:i w:val="0"/>
          <w:sz w:val="21"/>
        </w:rPr>
        <w:t>Information is returned and then irreversibly deleted, access is removed and the provider's confirmation is kept. The organisation checks that it can keep the service running.</w:t>
      </w:r>
    </w:p>
    <w:p>
      <w:pPr>
        <w:keepNext/>
        <w:spacing w:before="280" w:after="120" w:line="264" w:lineRule="auto"/>
      </w:pPr>
      <w:r>
        <w:rPr>
          <w:rFonts w:ascii="Arial" w:hAnsi="Arial" w:cs="Arial" w:eastAsia="Arial"/>
          <w:b/>
          <w:i w:val="0"/>
          <w:color w:val="1B253B"/>
          <w:sz w:val="28"/>
        </w:rPr>
        <w:t>6. Register of outsourcing</w:t>
      </w:r>
    </w:p>
    <w:tbl>
      <w:tblPr>
        <w:tblStyle w:val="TableGrid"/>
        <w:tblW w:type="auto" w:w="0"/>
        <w:jc w:val="center"/>
        <w:tblLayout w:type="fixed"/>
        <w:tblLook w:firstColumn="1" w:firstRow="1" w:lastColumn="0" w:lastRow="0" w:noHBand="0" w:noVBand="1" w:val="04A0"/>
        <w:tblCaption w:val="list:30.outsourcing"/>
      </w:tblPr>
      <w:tblGrid>
        <w:gridCol w:w="1529"/>
        <w:gridCol w:w="1529"/>
        <w:gridCol w:w="1529"/>
        <w:gridCol w:w="1529"/>
        <w:gridCol w:w="1529"/>
        <w:gridCol w:w="1529"/>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Provider</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What is outsourced</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Material?</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SAMA approval</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Start</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872"/>
          </w:tcPr>
          <w:p>
            <w:pPr>
              <w:keepNext w:val="0"/>
              <w:spacing w:before="40" w:after="40" w:line="240" w:lineRule="auto"/>
            </w:pPr>
            <w:r>
              <w:rPr>
                <w:rFonts w:ascii="Arial" w:hAnsi="Arial" w:cs="Arial" w:eastAsia="Arial"/>
                <w:b w:val="0"/>
                <w:i w:val="0"/>
                <w:sz w:val="18"/>
                <w:highlight w:val="yellow"/>
              </w:rPr>
              <w:t>&lt;Provider&gt;</w:t>
            </w:r>
          </w:p>
        </w:tc>
        <w:tc>
          <w:tcPr>
            <w:tcW w:type="dxa" w:w="2304"/>
          </w:tcPr>
          <w:p>
            <w:pPr>
              <w:keepNext w:val="0"/>
              <w:spacing w:before="40" w:after="40" w:line="240" w:lineRule="auto"/>
            </w:pPr>
            <w:r>
              <w:rPr>
                <w:rFonts w:ascii="Arial" w:hAnsi="Arial" w:cs="Arial" w:eastAsia="Arial"/>
                <w:b w:val="0"/>
                <w:i w:val="0"/>
                <w:sz w:val="18"/>
                <w:highlight w:val="yellow"/>
              </w:rPr>
              <w:t>&lt;Service&gt;</w:t>
            </w:r>
          </w:p>
        </w:tc>
        <w:tc>
          <w:tcPr>
            <w:tcW w:type="dxa" w:w="1008"/>
          </w:tcPr>
          <w:p>
            <w:pPr>
              <w:keepNext w:val="0"/>
              <w:spacing w:before="40" w:after="40" w:line="240" w:lineRule="auto"/>
            </w:pPr>
            <w:r>
              <w:rPr>
                <w:rFonts w:ascii="Arial" w:hAnsi="Arial" w:cs="Arial" w:eastAsia="Arial"/>
                <w:b w:val="0"/>
                <w:i w:val="0"/>
                <w:sz w:val="18"/>
                <w:highlight w:val="yellow"/>
              </w:rPr>
              <w:t>&lt;Yes / No&gt;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296"/>
          </w:tcPr>
          <w:p>
            <w:pPr>
              <w:keepNext w:val="0"/>
              <w:spacing w:before="40" w:after="40" w:line="240" w:lineRule="auto"/>
            </w:pPr>
            <w:r>
              <w:rPr>
                <w:rFonts w:ascii="Arial" w:hAnsi="Arial" w:cs="Arial" w:eastAsia="Arial"/>
                <w:b w:val="0"/>
                <w:i w:val="0"/>
                <w:sz w:val="18"/>
                <w:highlight w:val="yellow"/>
              </w:rPr>
              <w:t>&lt;Owner&gt;</w:t>
            </w:r>
          </w:p>
        </w:tc>
      </w:tr>
      <w:tr>
        <w:trPr>
          <w:cantSplit w:val="true"/>
        </w:trPr>
        <w:tc>
          <w:tcPr>
            <w:tcW w:type="dxa" w:w="1872"/>
          </w:tcPr>
          <w:p>
            <w:pPr>
              <w:keepNext w:val="0"/>
              <w:spacing w:before="40" w:after="40" w:line="240" w:lineRule="auto"/>
            </w:pPr>
            <w:r>
              <w:rPr>
                <w:rFonts w:ascii="Arial" w:hAnsi="Arial" w:cs="Arial" w:eastAsia="Arial"/>
                <w:b w:val="0"/>
                <w:i w:val="0"/>
                <w:sz w:val="18"/>
                <w:highlight w:val="yellow"/>
              </w:rPr>
              <w:t>&lt;Provider&gt;</w:t>
            </w:r>
          </w:p>
        </w:tc>
        <w:tc>
          <w:tcPr>
            <w:tcW w:type="dxa" w:w="2304"/>
          </w:tcPr>
          <w:p>
            <w:pPr>
              <w:keepNext w:val="0"/>
              <w:spacing w:before="40" w:after="40" w:line="240" w:lineRule="auto"/>
            </w:pPr>
            <w:r>
              <w:rPr>
                <w:rFonts w:ascii="Arial" w:hAnsi="Arial" w:cs="Arial" w:eastAsia="Arial"/>
                <w:b w:val="0"/>
                <w:i w:val="0"/>
                <w:sz w:val="18"/>
                <w:highlight w:val="yellow"/>
              </w:rPr>
              <w:t>&lt;Service&gt;</w:t>
            </w:r>
          </w:p>
        </w:tc>
        <w:tc>
          <w:tcPr>
            <w:tcW w:type="dxa" w:w="1008"/>
          </w:tcPr>
          <w:p>
            <w:pPr>
              <w:keepNext w:val="0"/>
              <w:spacing w:before="40" w:after="40" w:line="240" w:lineRule="auto"/>
            </w:pPr>
            <w:r>
              <w:rPr>
                <w:rFonts w:ascii="Arial" w:hAnsi="Arial" w:cs="Arial" w:eastAsia="Arial"/>
                <w:b w:val="0"/>
                <w:i w:val="0"/>
                <w:sz w:val="18"/>
                <w:highlight w:val="yellow"/>
              </w:rPr>
              <w:t>&lt;Yes / No&gt;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296"/>
          </w:tcPr>
          <w:p>
            <w:pPr>
              <w:keepNext w:val="0"/>
              <w:spacing w:before="40" w:after="40" w:line="240" w:lineRule="auto"/>
            </w:pPr>
            <w:r>
              <w:rPr>
                <w:rFonts w:ascii="Arial" w:hAnsi="Arial" w:cs="Arial" w:eastAsia="Arial"/>
                <w:b w:val="0"/>
                <w:i w:val="0"/>
                <w:sz w:val="18"/>
                <w:highlight w:val="yellow"/>
              </w:rPr>
              <w:t>&lt;Owner&gt;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30.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Material outsourcing with SAMA approval before start</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Outsourced services reviewed on schedule</w:t>
            </w:r>
          </w:p>
        </w:tc>
        <w:tc>
          <w:tcPr>
            <w:tcW w:type="dxa" w:w="2592"/>
          </w:tcPr>
          <w:p>
            <w:pPr>
              <w:keepNext w:val="0"/>
              <w:spacing w:before="40" w:after="40" w:line="240" w:lineRule="auto"/>
            </w:pPr>
            <w:sdt>
              <w:sdtPr>
                <w:alias w:val="100%"/>
                <w:tag w:val="30.t4.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3.4.2.1</w:t>
            </w:r>
          </w:p>
        </w:tc>
        <w:tc>
          <w:tcPr>
            <w:tcW w:type="dxa" w:w="7920"/>
          </w:tcPr>
          <w:p>
            <w:pPr>
              <w:keepNext w:val="0"/>
              <w:spacing w:before="40" w:after="40" w:line="240" w:lineRule="auto"/>
            </w:pPr>
            <w:r>
              <w:rPr>
                <w:rFonts w:ascii="Arial" w:hAnsi="Arial" w:cs="Arial" w:eastAsia="Arial"/>
                <w:b w:val="0"/>
                <w:i w:val="0"/>
                <w:sz w:val="18"/>
              </w:rPr>
              <w:t>Security requirements in the outsourcing policy and process defined, approved, implemented and communicated</w:t>
            </w:r>
          </w:p>
        </w:tc>
      </w:tr>
      <w:tr>
        <w:trPr>
          <w:cantSplit w:val="true"/>
        </w:trPr>
        <w:tc>
          <w:tcPr>
            <w:tcW w:type="dxa" w:w="1296"/>
          </w:tcPr>
          <w:p>
            <w:pPr>
              <w:keepNext w:val="0"/>
              <w:spacing w:before="40" w:after="40" w:line="240" w:lineRule="auto"/>
            </w:pPr>
            <w:r>
              <w:rPr>
                <w:rFonts w:ascii="Arial" w:hAnsi="Arial" w:cs="Arial" w:eastAsia="Arial"/>
                <w:b w:val="0"/>
                <w:i w:val="0"/>
                <w:sz w:val="18"/>
              </w:rPr>
              <w:t>3.4.2.2</w:t>
            </w:r>
          </w:p>
        </w:tc>
        <w:tc>
          <w:tcPr>
            <w:tcW w:type="dxa" w:w="7920"/>
          </w:tcPr>
          <w:p>
            <w:pPr>
              <w:keepNext w:val="0"/>
              <w:spacing w:before="40" w:after="40" w:line="240" w:lineRule="auto"/>
            </w:pPr>
            <w:r>
              <w:rPr>
                <w:rFonts w:ascii="Arial" w:hAnsi="Arial" w:cs="Arial" w:eastAsia="Arial"/>
                <w:b w:val="0"/>
                <w:i w:val="0"/>
                <w:sz w:val="18"/>
              </w:rPr>
              <w:t>Measured and periodically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3.4.2.3</w:t>
            </w:r>
          </w:p>
        </w:tc>
        <w:tc>
          <w:tcPr>
            <w:tcW w:type="dxa" w:w="7920"/>
          </w:tcPr>
          <w:p>
            <w:pPr>
              <w:keepNext w:val="0"/>
              <w:spacing w:before="40" w:after="40" w:line="240" w:lineRule="auto"/>
            </w:pPr>
            <w:r>
              <w:rPr>
                <w:rFonts w:ascii="Arial" w:hAnsi="Arial" w:cs="Arial" w:eastAsia="Arial"/>
                <w:b w:val="0"/>
                <w:i w:val="0"/>
                <w:sz w:val="18"/>
              </w:rPr>
              <w:t>SAMA's approval for material outsourcing; cyber security involved; SAMA's outsourcing circular followed</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Outsourcing Policy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Outsourcing Policy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