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Cloud Computing Policy</w:t>
      </w:r>
    </w:p>
    <w:p>
      <w:pPr>
        <w:keepNext w:val="0"/>
        <w:spacing w:before="0" w:after="200" w:line="240" w:lineRule="auto"/>
      </w:pPr>
      <w:r>
        <w:rPr>
          <w:rFonts w:ascii="Arial" w:hAnsi="Arial" w:cs="Arial" w:eastAsia="Arial"/>
          <w:b w:val="0"/>
          <w:i w:val="0"/>
          <w:color w:val="5B6678"/>
          <w:sz w:val="21"/>
        </w:rPr>
        <w:t>Security controls for hybrid and public cloud services, including SAMA's approval.</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SAMA-31</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policy sets the security controls for hybrid and public cloud services used by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It does not apply to a private (internal) cloud.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hybrid or public cloud service: infrastructure, platform and software as a service, including those bought by business units.</w:t>
      </w:r>
    </w:p>
    <w:p>
      <w:pPr>
        <w:keepNext/>
        <w:spacing w:before="280" w:after="120" w:line="264" w:lineRule="auto"/>
      </w:pPr>
      <w:r>
        <w:rPr>
          <w:rFonts w:ascii="Arial" w:hAnsi="Arial" w:cs="Arial" w:eastAsia="Arial"/>
          <w:b/>
          <w:i w:val="0"/>
          <w:color w:val="1B253B"/>
          <w:sz w:val="28"/>
        </w:rPr>
        <w:t>3. What the policy requires</w:t>
      </w:r>
    </w:p>
    <w:p>
      <w:pPr>
        <w:pStyle w:val="ListBullet"/>
        <w:keepNext w:val="0"/>
        <w:spacing w:before="0" w:after="60" w:line="276" w:lineRule="auto"/>
        <w:ind w:left="432" w:hanging="288"/>
      </w:pPr>
      <w:r>
        <w:rPr>
          <w:rFonts w:ascii="Arial" w:hAnsi="Arial" w:cs="Arial" w:eastAsia="Arial"/>
          <w:b/>
          <w:i w:val="0"/>
          <w:sz w:val="21"/>
        </w:rPr>
        <w:t>Risk assessment and due diligence</w:t>
      </w:r>
      <w:r>
        <w:rPr>
          <w:rFonts w:ascii="Arial" w:hAnsi="Arial" w:cs="Arial" w:eastAsia="Arial"/>
          <w:b w:val="0"/>
          <w:i w:val="0"/>
          <w:sz w:val="21"/>
        </w:rPr>
        <w:t xml:space="preserve"> on the provider and its services before use.</w:t>
      </w:r>
    </w:p>
    <w:p>
      <w:pPr>
        <w:pStyle w:val="ListBullet"/>
        <w:keepNext w:val="0"/>
        <w:spacing w:before="0" w:after="60" w:line="276" w:lineRule="auto"/>
        <w:ind w:left="432" w:hanging="288"/>
      </w:pPr>
      <w:r>
        <w:rPr>
          <w:rFonts w:ascii="Arial" w:hAnsi="Arial" w:cs="Arial" w:eastAsia="Arial"/>
          <w:b/>
          <w:i w:val="0"/>
          <w:sz w:val="21"/>
        </w:rPr>
        <w:t>SAMA's approval</w:t>
      </w:r>
      <w:r>
        <w:rPr>
          <w:rFonts w:ascii="Arial" w:hAnsi="Arial" w:cs="Arial" w:eastAsia="Arial"/>
          <w:b w:val="0"/>
          <w:i w:val="0"/>
          <w:sz w:val="21"/>
        </w:rPr>
        <w:t xml:space="preserve"> before using cloud services or signing with the provider.</w:t>
      </w:r>
    </w:p>
    <w:p>
      <w:pPr>
        <w:pStyle w:val="ListBullet"/>
        <w:keepNext w:val="0"/>
        <w:spacing w:before="0" w:after="60" w:line="276" w:lineRule="auto"/>
        <w:ind w:left="432" w:hanging="288"/>
      </w:pPr>
      <w:r>
        <w:rPr>
          <w:rFonts w:ascii="Arial" w:hAnsi="Arial" w:cs="Arial" w:eastAsia="Arial"/>
          <w:b w:val="0"/>
          <w:i w:val="0"/>
          <w:sz w:val="21"/>
        </w:rPr>
        <w:t xml:space="preserve">A </w:t>
      </w:r>
      <w:r>
        <w:rPr>
          <w:rFonts w:ascii="Arial" w:hAnsi="Arial" w:cs="Arial" w:eastAsia="Arial"/>
          <w:b/>
          <w:i w:val="0"/>
          <w:sz w:val="21"/>
        </w:rPr>
        <w:t>contract</w:t>
      </w:r>
      <w:r>
        <w:rPr>
          <w:rFonts w:ascii="Arial" w:hAnsi="Arial" w:cs="Arial" w:eastAsia="Arial"/>
          <w:b w:val="0"/>
          <w:i w:val="0"/>
          <w:sz w:val="21"/>
        </w:rPr>
        <w:t xml:space="preserve"> with security requirements in place before use.</w:t>
      </w:r>
    </w:p>
    <w:p>
      <w:pPr>
        <w:pStyle w:val="ListBullet"/>
        <w:keepNext w:val="0"/>
        <w:spacing w:before="0" w:after="60" w:line="276" w:lineRule="auto"/>
        <w:ind w:left="432" w:hanging="288"/>
      </w:pPr>
      <w:r>
        <w:rPr>
          <w:rFonts w:ascii="Arial" w:hAnsi="Arial" w:cs="Arial" w:eastAsia="Arial"/>
          <w:b/>
          <w:i w:val="0"/>
          <w:sz w:val="21"/>
        </w:rPr>
        <w:t>Data stays in Saudi Arabia</w:t>
      </w:r>
      <w:r>
        <w:rPr>
          <w:rFonts w:ascii="Arial" w:hAnsi="Arial" w:cs="Arial" w:eastAsia="Arial"/>
          <w:b w:val="0"/>
          <w:i w:val="0"/>
          <w:sz w:val="21"/>
        </w:rPr>
        <w:t xml:space="preserve"> in principle. SAMA's explicit approval is needed for any service located outside it.</w:t>
      </w:r>
    </w:p>
    <w:p>
      <w:pPr>
        <w:pStyle w:val="ListBullet"/>
        <w:keepNext w:val="0"/>
        <w:spacing w:before="0" w:after="60" w:line="276" w:lineRule="auto"/>
        <w:ind w:left="432" w:hanging="288"/>
      </w:pPr>
      <w:r>
        <w:rPr>
          <w:rFonts w:ascii="Arial" w:hAnsi="Arial" w:cs="Arial" w:eastAsia="Arial"/>
          <w:b w:val="0"/>
          <w:i w:val="0"/>
          <w:sz w:val="21"/>
        </w:rPr>
        <w:t xml:space="preserve">The provider </w:t>
      </w:r>
      <w:r>
        <w:rPr>
          <w:rFonts w:ascii="Arial" w:hAnsi="Arial" w:cs="Arial" w:eastAsia="Arial"/>
          <w:b/>
          <w:i w:val="0"/>
          <w:sz w:val="21"/>
        </w:rPr>
        <w:t>does not use the organisation's data</w:t>
      </w:r>
      <w:r>
        <w:rPr>
          <w:rFonts w:ascii="Arial" w:hAnsi="Arial" w:cs="Arial" w:eastAsia="Arial"/>
          <w:b w:val="0"/>
          <w:i w:val="0"/>
          <w:sz w:val="21"/>
        </w:rPr>
        <w:t xml:space="preserve"> for any other purpose.</w:t>
      </w:r>
    </w:p>
    <w:p>
      <w:pPr>
        <w:pStyle w:val="ListBullet"/>
        <w:keepNext w:val="0"/>
        <w:spacing w:before="0" w:after="60" w:line="276" w:lineRule="auto"/>
        <w:ind w:left="432" w:hanging="288"/>
      </w:pPr>
      <w:r>
        <w:rPr>
          <w:rFonts w:ascii="Arial" w:hAnsi="Arial" w:cs="Arial" w:eastAsia="Arial"/>
          <w:b w:val="0"/>
          <w:i w:val="0"/>
          <w:sz w:val="21"/>
        </w:rPr>
        <w:t>The provider implements and monitors the controls the risk assessment calls for.</w:t>
      </w:r>
    </w:p>
    <w:p>
      <w:pPr>
        <w:pStyle w:val="ListBullet"/>
        <w:keepNext w:val="0"/>
        <w:spacing w:before="0" w:after="60" w:line="276" w:lineRule="auto"/>
        <w:ind w:left="432" w:hanging="288"/>
      </w:pPr>
      <w:r>
        <w:rPr>
          <w:rFonts w:ascii="Arial" w:hAnsi="Arial" w:cs="Arial" w:eastAsia="Arial"/>
          <w:b w:val="0"/>
          <w:i w:val="0"/>
          <w:sz w:val="21"/>
        </w:rPr>
        <w:t xml:space="preserve">The organisation's data is </w:t>
      </w:r>
      <w:r>
        <w:rPr>
          <w:rFonts w:ascii="Arial" w:hAnsi="Arial" w:cs="Arial" w:eastAsia="Arial"/>
          <w:b/>
          <w:i w:val="0"/>
          <w:sz w:val="21"/>
        </w:rPr>
        <w:t>logically separated</w:t>
      </w:r>
      <w:r>
        <w:rPr>
          <w:rFonts w:ascii="Arial" w:hAnsi="Arial" w:cs="Arial" w:eastAsia="Arial"/>
          <w:b w:val="0"/>
          <w:i w:val="0"/>
          <w:sz w:val="21"/>
        </w:rPr>
        <w:t xml:space="preserve"> from other customers' and always identifiable.</w:t>
      </w:r>
    </w:p>
    <w:p>
      <w:pPr>
        <w:pStyle w:val="ListBullet"/>
        <w:keepNext w:val="0"/>
        <w:spacing w:before="0" w:after="60" w:line="276" w:lineRule="auto"/>
        <w:ind w:left="432" w:hanging="288"/>
      </w:pPr>
      <w:r>
        <w:rPr>
          <w:rFonts w:ascii="Arial" w:hAnsi="Arial" w:cs="Arial" w:eastAsia="Arial"/>
          <w:b/>
          <w:i w:val="0"/>
          <w:sz w:val="21"/>
        </w:rPr>
        <w:t>Business continuity</w:t>
      </w:r>
      <w:r>
        <w:rPr>
          <w:rFonts w:ascii="Arial" w:hAnsi="Arial" w:cs="Arial" w:eastAsia="Arial"/>
          <w:b w:val="0"/>
          <w:i w:val="0"/>
          <w:sz w:val="21"/>
        </w:rPr>
        <w:t xml:space="preserve"> in line with the organisation's policy.</w:t>
      </w:r>
    </w:p>
    <w:p>
      <w:pPr>
        <w:pStyle w:val="ListBullet"/>
        <w:keepNext w:val="0"/>
        <w:spacing w:before="0" w:after="60" w:line="276" w:lineRule="auto"/>
        <w:ind w:left="432" w:hanging="288"/>
      </w:pPr>
      <w:r>
        <w:rPr>
          <w:rFonts w:ascii="Arial" w:hAnsi="Arial" w:cs="Arial" w:eastAsia="Arial"/>
          <w:b w:val="0"/>
          <w:i w:val="0"/>
          <w:sz w:val="21"/>
        </w:rPr>
        <w:t>The right to carry out security reviews, audits and examinations at the provider.</w:t>
      </w:r>
    </w:p>
    <w:p>
      <w:pPr>
        <w:pStyle w:val="ListBullet"/>
        <w:keepNext w:val="0"/>
        <w:spacing w:before="0" w:after="60" w:line="276" w:lineRule="auto"/>
        <w:ind w:left="432" w:hanging="288"/>
      </w:pPr>
      <w:r>
        <w:rPr>
          <w:rFonts w:ascii="Arial" w:hAnsi="Arial" w:cs="Arial" w:eastAsia="Arial"/>
          <w:b/>
          <w:i w:val="0"/>
          <w:sz w:val="21"/>
        </w:rPr>
        <w:t>On exit,</w:t>
      </w:r>
      <w:r>
        <w:rPr>
          <w:rFonts w:ascii="Arial" w:hAnsi="Arial" w:cs="Arial" w:eastAsia="Arial"/>
          <w:b w:val="0"/>
          <w:i w:val="0"/>
          <w:sz w:val="21"/>
        </w:rPr>
        <w:t xml:space="preserve"> termination rights, and the provider returns the data and then irreversibly deletes it.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Approval process</w:t>
      </w:r>
    </w:p>
    <w:p>
      <w:pPr>
        <w:keepNext w:val="0"/>
        <w:spacing w:before="0" w:after="60" w:line="276" w:lineRule="auto"/>
        <w:ind w:left="504" w:hanging="403"/>
      </w:pPr>
      <w:r>
        <w:rPr>
          <w:rFonts w:ascii="Arial" w:hAnsi="Arial" w:cs="Arial" w:eastAsia="Arial"/>
          <w:b w:val="0"/>
          <w:i w:val="0"/>
          <w:sz w:val="21"/>
        </w:rPr>
        <w:t>1.  The business owner asks the CISO's team for approval to use a cloud service.</w:t>
      </w:r>
    </w:p>
    <w:p>
      <w:pPr>
        <w:keepNext w:val="0"/>
        <w:spacing w:before="0" w:after="60" w:line="276" w:lineRule="auto"/>
        <w:ind w:left="504" w:hanging="403"/>
      </w:pPr>
      <w:r>
        <w:rPr>
          <w:rFonts w:ascii="Arial" w:hAnsi="Arial" w:cs="Arial" w:eastAsia="Arial"/>
          <w:b w:val="0"/>
          <w:i w:val="0"/>
          <w:sz w:val="21"/>
        </w:rPr>
        <w:t>2.  Risk assessment and due diligence on the provider are done.</w:t>
      </w:r>
    </w:p>
    <w:p>
      <w:pPr>
        <w:keepNext w:val="0"/>
        <w:spacing w:before="0" w:after="60" w:line="276" w:lineRule="auto"/>
        <w:ind w:left="504" w:hanging="403"/>
      </w:pPr>
      <w:r>
        <w:rPr>
          <w:rFonts w:ascii="Arial" w:hAnsi="Arial" w:cs="Arial" w:eastAsia="Arial"/>
          <w:b w:val="0"/>
          <w:i w:val="0"/>
          <w:sz w:val="21"/>
        </w:rPr>
        <w:t>3.  SAMA's approval is requested, and its explicit approval if data will be outside Saudi Arabia.</w:t>
      </w:r>
    </w:p>
    <w:p>
      <w:pPr>
        <w:keepNext w:val="0"/>
        <w:spacing w:before="0" w:after="60" w:line="276" w:lineRule="auto"/>
        <w:ind w:left="504" w:hanging="403"/>
      </w:pPr>
      <w:r>
        <w:rPr>
          <w:rFonts w:ascii="Arial" w:hAnsi="Arial" w:cs="Arial" w:eastAsia="Arial"/>
          <w:b w:val="0"/>
          <w:i w:val="0"/>
          <w:sz w:val="21"/>
        </w:rPr>
        <w:t>4.  The contract is checked against the requirements above and signed.</w:t>
      </w:r>
    </w:p>
    <w:p>
      <w:pPr>
        <w:keepNext w:val="0"/>
        <w:spacing w:before="0" w:after="60" w:line="276" w:lineRule="auto"/>
        <w:ind w:left="504" w:hanging="403"/>
      </w:pPr>
      <w:r>
        <w:rPr>
          <w:rFonts w:ascii="Arial" w:hAnsi="Arial" w:cs="Arial" w:eastAsia="Arial"/>
          <w:b w:val="0"/>
          <w:i w:val="0"/>
          <w:sz w:val="21"/>
        </w:rPr>
        <w:t>5.  The service is configured to the infrastructure and application standards (SAMA-19, SAMA-17) and added to the asset register.</w:t>
      </w:r>
    </w:p>
    <w:p>
      <w:pPr>
        <w:keepNext w:val="0"/>
        <w:spacing w:before="0" w:after="60" w:line="276" w:lineRule="auto"/>
        <w:ind w:left="504" w:hanging="403"/>
      </w:pPr>
      <w:r>
        <w:rPr>
          <w:rFonts w:ascii="Arial" w:hAnsi="Arial" w:cs="Arial" w:eastAsia="Arial"/>
          <w:b w:val="0"/>
          <w:i w:val="0"/>
          <w:sz w:val="21"/>
        </w:rPr>
        <w:t xml:space="preserve">6.  Use is monitored, and compliance and effectiveness are reviewed </w:t>
      </w:r>
      <w:sdt>
        <w:sdtPr>
          <w:alias w:val="every year"/>
          <w:tag w:val="31.review"/>
        </w:sdtPr>
        <w:sdtContent>
          <w:r>
            <w:rPr>
              <w:rFonts w:ascii="Arial" w:hAnsi="Arial" w:cs="Arial" w:eastAsia="Arial"/>
              <w:b w:val="0"/>
              <w:i w:val="0"/>
              <w:sz w:val="21"/>
              <w:highlight w:val="yellow"/>
            </w:rPr>
            <w:t>&lt;every year&gt;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Register of cloud services</w:t>
      </w:r>
    </w:p>
    <w:tbl>
      <w:tblPr>
        <w:tblStyle w:val="TableGrid"/>
        <w:tblW w:type="auto" w:w="0"/>
        <w:jc w:val="center"/>
        <w:tblLayout w:type="fixed"/>
        <w:tblLook w:firstColumn="1" w:firstRow="1" w:lastColumn="0" w:lastRow="0" w:noHBand="0" w:noVBand="1" w:val="04A0"/>
        <w:tblCaption w:val="list:31.cloud"/>
      </w:tblPr>
      <w:tblGrid>
        <w:gridCol w:w="1529"/>
        <w:gridCol w:w="1529"/>
        <w:gridCol w:w="1529"/>
        <w:gridCol w:w="1529"/>
        <w:gridCol w:w="1529"/>
        <w:gridCol w:w="1529"/>
      </w:tblGrid>
      <w:tr>
        <w:trPr>
          <w:tblHeader w:val="true"/>
        </w:trPr>
        <w:tc>
          <w:tcPr>
            <w:tcW w:type="dxa" w:w="1728"/>
            <w:shd w:val="clear" w:color="auto" w:fill="DCE6F5"/>
          </w:tcPr>
          <w:p>
            <w:pPr>
              <w:keepNext w:val="0"/>
              <w:spacing w:before="40" w:after="40" w:line="240" w:lineRule="auto"/>
            </w:pPr>
            <w:r>
              <w:rPr>
                <w:rFonts w:ascii="Arial" w:hAnsi="Arial" w:cs="Arial" w:eastAsia="Arial"/>
                <w:b/>
                <w:i w:val="0"/>
                <w:color w:val="1B253B"/>
                <w:sz w:val="18"/>
              </w:rPr>
              <w:t>Service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Provider</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Data location</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SAMA approval</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1728"/>
          </w:tcPr>
          <w:p>
            <w:pPr>
              <w:keepNext w:val="0"/>
              <w:spacing w:before="40" w:after="40" w:line="240" w:lineRule="auto"/>
            </w:pPr>
            <w:r>
              <w:rPr>
                <w:rFonts w:ascii="Arial" w:hAnsi="Arial" w:cs="Arial" w:eastAsia="Arial"/>
                <w:b w:val="0"/>
                <w:i w:val="0"/>
                <w:sz w:val="18"/>
                <w:highlight w:val="yellow"/>
              </w:rPr>
              <w:t>&lt;Service&gt;</w:t>
            </w:r>
          </w:p>
        </w:tc>
        <w:tc>
          <w:tcPr>
            <w:tcW w:type="dxa" w:w="1728"/>
          </w:tcPr>
          <w:p>
            <w:pPr>
              <w:keepNext w:val="0"/>
              <w:spacing w:before="40" w:after="40" w:line="240" w:lineRule="auto"/>
            </w:pPr>
            <w:r>
              <w:rPr>
                <w:rFonts w:ascii="Arial" w:hAnsi="Arial" w:cs="Arial" w:eastAsia="Arial"/>
                <w:b w:val="0"/>
                <w:i w:val="0"/>
                <w:sz w:val="18"/>
                <w:highlight w:val="yellow"/>
              </w:rPr>
              <w:t>&lt;Provider&gt;</w:t>
            </w:r>
          </w:p>
        </w:tc>
        <w:tc>
          <w:tcPr>
            <w:tcW w:type="dxa" w:w="1152"/>
          </w:tcPr>
          <w:p>
            <w:pPr>
              <w:keepNext w:val="0"/>
              <w:spacing w:before="40" w:after="40" w:line="240" w:lineRule="auto"/>
            </w:pPr>
            <w:r>
              <w:rPr>
                <w:rFonts w:ascii="Arial" w:hAnsi="Arial" w:cs="Arial" w:eastAsia="Arial"/>
                <w:b w:val="0"/>
                <w:i w:val="0"/>
                <w:sz w:val="18"/>
                <w:highlight w:val="yellow"/>
              </w:rPr>
              <w:t>&lt;Type&gt;</w:t>
            </w:r>
          </w:p>
        </w:tc>
        <w:tc>
          <w:tcPr>
            <w:tcW w:type="dxa" w:w="1440"/>
          </w:tcPr>
          <w:p>
            <w:pPr>
              <w:keepNext w:val="0"/>
              <w:spacing w:before="40" w:after="40" w:line="240" w:lineRule="auto"/>
            </w:pPr>
            <w:r>
              <w:rPr>
                <w:rFonts w:ascii="Arial" w:hAnsi="Arial" w:cs="Arial" w:eastAsia="Arial"/>
                <w:b w:val="0"/>
                <w:i w:val="0"/>
                <w:sz w:val="18"/>
                <w:highlight w:val="yellow"/>
              </w:rPr>
              <w:t>&lt;Country&gt;</w:t>
            </w:r>
          </w:p>
        </w:tc>
        <w:tc>
          <w:tcPr>
            <w:tcW w:type="dxa" w:w="1584"/>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&lt;Owner&gt;</w:t>
            </w:r>
          </w:p>
        </w:tc>
      </w:tr>
      <w:tr>
        <w:trPr>
          <w:cantSplit w:val="true"/>
        </w:trPr>
        <w:tc>
          <w:tcPr>
            <w:tcW w:type="dxa" w:w="1728"/>
          </w:tcPr>
          <w:p>
            <w:pPr>
              <w:keepNext w:val="0"/>
              <w:spacing w:before="40" w:after="40" w:line="240" w:lineRule="auto"/>
            </w:pPr>
            <w:r>
              <w:rPr>
                <w:rFonts w:ascii="Arial" w:hAnsi="Arial" w:cs="Arial" w:eastAsia="Arial"/>
                <w:b w:val="0"/>
                <w:i w:val="0"/>
                <w:sz w:val="18"/>
                <w:highlight w:val="yellow"/>
              </w:rPr>
              <w:t>&lt;Service&gt;</w:t>
            </w:r>
          </w:p>
        </w:tc>
        <w:tc>
          <w:tcPr>
            <w:tcW w:type="dxa" w:w="1728"/>
          </w:tcPr>
          <w:p>
            <w:pPr>
              <w:keepNext w:val="0"/>
              <w:spacing w:before="40" w:after="40" w:line="240" w:lineRule="auto"/>
            </w:pPr>
            <w:r>
              <w:rPr>
                <w:rFonts w:ascii="Arial" w:hAnsi="Arial" w:cs="Arial" w:eastAsia="Arial"/>
                <w:b w:val="0"/>
                <w:i w:val="0"/>
                <w:sz w:val="18"/>
                <w:highlight w:val="yellow"/>
              </w:rPr>
              <w:t>&lt;Provider&gt;</w:t>
            </w:r>
          </w:p>
        </w:tc>
        <w:tc>
          <w:tcPr>
            <w:tcW w:type="dxa" w:w="1152"/>
          </w:tcPr>
          <w:p>
            <w:pPr>
              <w:keepNext w:val="0"/>
              <w:spacing w:before="40" w:after="40" w:line="240" w:lineRule="auto"/>
            </w:pPr>
            <w:r>
              <w:rPr>
                <w:rFonts w:ascii="Arial" w:hAnsi="Arial" w:cs="Arial" w:eastAsia="Arial"/>
                <w:b w:val="0"/>
                <w:i w:val="0"/>
                <w:sz w:val="18"/>
                <w:highlight w:val="yellow"/>
              </w:rPr>
              <w:t>&lt;Type&gt;</w:t>
            </w:r>
          </w:p>
        </w:tc>
        <w:tc>
          <w:tcPr>
            <w:tcW w:type="dxa" w:w="1440"/>
          </w:tcPr>
          <w:p>
            <w:pPr>
              <w:keepNext w:val="0"/>
              <w:spacing w:before="40" w:after="40" w:line="240" w:lineRule="auto"/>
            </w:pPr>
            <w:r>
              <w:rPr>
                <w:rFonts w:ascii="Arial" w:hAnsi="Arial" w:cs="Arial" w:eastAsia="Arial"/>
                <w:b w:val="0"/>
                <w:i w:val="0"/>
                <w:sz w:val="18"/>
                <w:highlight w:val="yellow"/>
              </w:rPr>
              <w:t>&lt;Country&gt;</w:t>
            </w:r>
          </w:p>
        </w:tc>
        <w:tc>
          <w:tcPr>
            <w:tcW w:type="dxa" w:w="1584"/>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&lt;Owner&gt;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31.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Cloud services with SAMA approval</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Cloud services outside Saudi Arabia with SAMA's explicit approval</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8.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9.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3.4.3.1</w:t>
            </w:r>
          </w:p>
        </w:tc>
        <w:tc>
          <w:tcPr>
            <w:tcW w:type="dxa" w:w="7920"/>
          </w:tcPr>
          <w:p>
            <w:pPr>
              <w:keepNext w:val="0"/>
              <w:spacing w:before="40" w:after="40" w:line="240" w:lineRule="auto"/>
            </w:pPr>
            <w:r>
              <w:rPr>
                <w:rFonts w:ascii="Arial" w:hAnsi="Arial" w:cs="Arial" w:eastAsia="Arial"/>
                <w:b w:val="0"/>
                <w:i w:val="0"/>
                <w:sz w:val="18"/>
              </w:rPr>
              <w:t>Cloud security controls defined, approved, implemented and communicated</w:t>
            </w:r>
          </w:p>
        </w:tc>
      </w:tr>
      <w:tr>
        <w:trPr>
          <w:cantSplit w:val="true"/>
        </w:trPr>
        <w:tc>
          <w:tcPr>
            <w:tcW w:type="dxa" w:w="1296"/>
          </w:tcPr>
          <w:p>
            <w:pPr>
              <w:keepNext w:val="0"/>
              <w:spacing w:before="40" w:after="40" w:line="240" w:lineRule="auto"/>
            </w:pPr>
            <w:r>
              <w:rPr>
                <w:rFonts w:ascii="Arial" w:hAnsi="Arial" w:cs="Arial" w:eastAsia="Arial"/>
                <w:b w:val="0"/>
                <w:i w:val="0"/>
                <w:sz w:val="18"/>
              </w:rPr>
              <w:t>3.4.3.2</w:t>
            </w:r>
          </w:p>
        </w:tc>
        <w:tc>
          <w:tcPr>
            <w:tcW w:type="dxa" w:w="7920"/>
          </w:tcPr>
          <w:p>
            <w:pPr>
              <w:keepNext w:val="0"/>
              <w:spacing w:before="40" w:after="40" w:line="240" w:lineRule="auto"/>
            </w:pPr>
            <w:r>
              <w:rPr>
                <w:rFonts w:ascii="Arial" w:hAnsi="Arial" w:cs="Arial" w:eastAsia="Arial"/>
                <w:b w:val="0"/>
                <w:i w:val="0"/>
                <w:sz w:val="18"/>
              </w:rPr>
              <w:t>Compliance with the policy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3.4.3.3</w:t>
            </w:r>
          </w:p>
        </w:tc>
        <w:tc>
          <w:tcPr>
            <w:tcW w:type="dxa" w:w="7920"/>
          </w:tcPr>
          <w:p>
            <w:pPr>
              <w:keepNext w:val="0"/>
              <w:spacing w:before="40" w:after="40" w:line="240" w:lineRule="auto"/>
            </w:pPr>
            <w:r>
              <w:rPr>
                <w:rFonts w:ascii="Arial" w:hAnsi="Arial" w:cs="Arial" w:eastAsia="Arial"/>
                <w:b w:val="0"/>
                <w:i w:val="0"/>
                <w:sz w:val="18"/>
              </w:rPr>
              <w:t>Controls measured and periodically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3.4.3.4</w:t>
            </w:r>
          </w:p>
        </w:tc>
        <w:tc>
          <w:tcPr>
            <w:tcW w:type="dxa" w:w="7920"/>
          </w:tcPr>
          <w:p>
            <w:pPr>
              <w:keepNext w:val="0"/>
              <w:spacing w:before="40" w:after="40" w:line="240" w:lineRule="auto"/>
            </w:pPr>
            <w:r>
              <w:rPr>
                <w:rFonts w:ascii="Arial" w:hAnsi="Arial" w:cs="Arial" w:eastAsia="Arial"/>
                <w:b w:val="0"/>
                <w:i w:val="0"/>
                <w:sz w:val="18"/>
              </w:rPr>
              <w:t>Risk assessment, SAMA approval, contract, data location, no other use, controls, separation, continuity, review rights, exit</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Cloud Computing Policy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Policy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