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Acceptable Use of Information Assets</w:t>
      </w:r>
    </w:p>
    <w:p>
      <w:pPr>
        <w:keepNext w:val="0"/>
        <w:spacing w:before="0" w:after="200" w:line="240" w:lineRule="auto"/>
      </w:pPr>
      <w:r>
        <w:rPr>
          <w:rFonts w:ascii="Arial" w:hAnsi="Arial" w:cs="Arial" w:eastAsia="Arial"/>
          <w:b w:val="0"/>
          <w:i w:val="0"/>
          <w:color w:val="5B6678"/>
          <w:sz w:val="21"/>
        </w:rPr>
        <w:t>The everyday rules for using the organisation's information, devices and systems.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SAMA-34</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policy sets out what everyone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must and must not do when using the organisation's information, devices, networks and services. It turns the cyber security policy into everyday rules.</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Employees, contractors, temporary staff and third parties who use the organisation's information or systems, on or off its premises.</w:t>
      </w:r>
    </w:p>
    <w:p>
      <w:pPr>
        <w:keepNext/>
        <w:spacing w:before="280" w:after="120" w:line="264" w:lineRule="auto"/>
      </w:pPr>
      <w:r>
        <w:rPr>
          <w:rFonts w:ascii="Arial" w:hAnsi="Arial" w:cs="Arial" w:eastAsia="Arial"/>
          <w:b/>
          <w:i w:val="0"/>
          <w:color w:val="1B253B"/>
          <w:sz w:val="28"/>
        </w:rPr>
        <w:t>3. The rules</w:t>
      </w:r>
    </w:p>
    <w:p>
      <w:pPr>
        <w:keepNext/>
        <w:spacing w:before="160" w:after="80" w:line="264" w:lineRule="auto"/>
      </w:pPr>
      <w:r>
        <w:rPr>
          <w:rFonts w:ascii="Arial" w:hAnsi="Arial" w:cs="Arial" w:eastAsia="Arial"/>
          <w:b/>
          <w:i w:val="0"/>
          <w:color w:val="1B253B"/>
          <w:sz w:val="23"/>
        </w:rPr>
        <w:t>Information</w:t>
      </w:r>
    </w:p>
    <w:p>
      <w:pPr>
        <w:pStyle w:val="ListBullet"/>
        <w:keepNext w:val="0"/>
        <w:spacing w:before="0" w:after="60" w:line="276" w:lineRule="auto"/>
        <w:ind w:left="432" w:hanging="288"/>
      </w:pPr>
      <w:r>
        <w:rPr>
          <w:rFonts w:ascii="Arial" w:hAnsi="Arial" w:cs="Arial" w:eastAsia="Arial"/>
          <w:b w:val="0"/>
          <w:i w:val="0"/>
          <w:sz w:val="21"/>
        </w:rPr>
        <w:t>Handle information according to its classification label (SAMA-14).</w:t>
      </w:r>
    </w:p>
    <w:p>
      <w:pPr>
        <w:pStyle w:val="ListBullet"/>
        <w:keepNext w:val="0"/>
        <w:spacing w:before="0" w:after="60" w:line="276" w:lineRule="auto"/>
        <w:ind w:left="432" w:hanging="288"/>
      </w:pPr>
      <w:r>
        <w:rPr>
          <w:rFonts w:ascii="Arial" w:hAnsi="Arial" w:cs="Arial" w:eastAsia="Arial"/>
          <w:b w:val="0"/>
          <w:i w:val="0"/>
          <w:sz w:val="21"/>
        </w:rPr>
        <w:t>Do not send Confidential or Restricted information to personal email or storage, or put it into unapproved tools, including public AI services.</w:t>
      </w:r>
    </w:p>
    <w:p>
      <w:pPr>
        <w:pStyle w:val="ListBullet"/>
        <w:keepNext w:val="0"/>
        <w:spacing w:before="0" w:after="60" w:line="276" w:lineRule="auto"/>
        <w:ind w:left="432" w:hanging="288"/>
      </w:pPr>
      <w:r>
        <w:rPr>
          <w:rFonts w:ascii="Arial" w:hAnsi="Arial" w:cs="Arial" w:eastAsia="Arial"/>
          <w:b w:val="0"/>
          <w:i w:val="0"/>
          <w:sz w:val="21"/>
        </w:rPr>
        <w:t>Do not take information off the premises or off approved systems unless it is part of your work and protected.</w:t>
      </w:r>
    </w:p>
    <w:p>
      <w:pPr>
        <w:keepNext w:val="0"/>
        <w:spacing w:before="0" w:after="40" w:line="240" w:lineRule="auto"/>
      </w:pPr>
    </w:p>
    <w:p>
      <w:pPr>
        <w:keepNext/>
        <w:spacing w:before="160" w:after="80" w:line="264" w:lineRule="auto"/>
      </w:pPr>
      <w:r>
        <w:rPr>
          <w:rFonts w:ascii="Arial" w:hAnsi="Arial" w:cs="Arial" w:eastAsia="Arial"/>
          <w:b/>
          <w:i w:val="0"/>
          <w:color w:val="1B253B"/>
          <w:sz w:val="23"/>
        </w:rPr>
        <w:t>Devices and passwords</w:t>
      </w:r>
    </w:p>
    <w:p>
      <w:pPr>
        <w:pStyle w:val="ListBullet"/>
        <w:keepNext w:val="0"/>
        <w:spacing w:before="0" w:after="60" w:line="276" w:lineRule="auto"/>
        <w:ind w:left="432" w:hanging="288"/>
      </w:pPr>
      <w:r>
        <w:rPr>
          <w:rFonts w:ascii="Arial" w:hAnsi="Arial" w:cs="Arial" w:eastAsia="Arial"/>
          <w:b w:val="0"/>
          <w:i w:val="0"/>
          <w:sz w:val="21"/>
        </w:rPr>
        <w:t>Use only approved devices and software. Do not turn off or change security software.</w:t>
      </w:r>
    </w:p>
    <w:p>
      <w:pPr>
        <w:pStyle w:val="ListBullet"/>
        <w:keepNext w:val="0"/>
        <w:spacing w:before="0" w:after="60" w:line="276" w:lineRule="auto"/>
        <w:ind w:left="432" w:hanging="288"/>
      </w:pPr>
      <w:r>
        <w:rPr>
          <w:rFonts w:ascii="Arial" w:hAnsi="Arial" w:cs="Arial" w:eastAsia="Arial"/>
          <w:b w:val="0"/>
          <w:i w:val="0"/>
          <w:sz w:val="21"/>
        </w:rPr>
        <w:t>Keep passwords secret, and never share them or a one-time code with anyone, including IT (SAMA-16).</w:t>
      </w:r>
    </w:p>
    <w:p>
      <w:pPr>
        <w:pStyle w:val="ListBullet"/>
        <w:keepNext w:val="0"/>
        <w:spacing w:before="0" w:after="60" w:line="276" w:lineRule="auto"/>
        <w:ind w:left="432" w:hanging="288"/>
      </w:pPr>
      <w:r>
        <w:rPr>
          <w:rFonts w:ascii="Arial" w:hAnsi="Arial" w:cs="Arial" w:eastAsia="Arial"/>
          <w:b w:val="0"/>
          <w:i w:val="0"/>
          <w:sz w:val="21"/>
        </w:rPr>
        <w:t>Lock your screen when you leave it. Do not leave devices unattended in public places.</w:t>
      </w:r>
    </w:p>
    <w:p>
      <w:pPr>
        <w:pStyle w:val="ListBullet"/>
        <w:keepNext w:val="0"/>
        <w:spacing w:before="0" w:after="60" w:line="276" w:lineRule="auto"/>
        <w:ind w:left="432" w:hanging="288"/>
      </w:pPr>
      <w:r>
        <w:rPr>
          <w:rFonts w:ascii="Arial" w:hAnsi="Arial" w:cs="Arial" w:eastAsia="Arial"/>
          <w:b w:val="0"/>
          <w:i w:val="0"/>
          <w:sz w:val="21"/>
        </w:rPr>
        <w:t xml:space="preserve">Report a lost or stolen device straight away to </w:t>
      </w:r>
      <w:sdt>
        <w:sdtPr>
          <w:alias w:val="Where people report security incidents"/>
          <w:tag w:val="security_contact"/>
        </w:sdtPr>
        <w:sdtContent>
          <w:r>
            <w:rPr>
              <w:rFonts w:ascii="Arial" w:hAnsi="Arial" w:cs="Arial" w:eastAsia="Arial"/>
              <w:b w:val="0"/>
              <w:i w:val="0"/>
              <w:sz w:val="21"/>
              <w:highlight w:val="yellow"/>
            </w:rPr>
            <w:t>&lt;the security contact&gt;</w:t>
          </w:r>
        </w:sdtContent>
      </w:sdt>
      <w:r>
        <w:rPr>
          <w:rFonts w:ascii="Arial" w:hAnsi="Arial" w:cs="Arial" w:eastAsia="Arial"/>
          <w:b w:val="0"/>
          <w:i w:val="0"/>
          <w:sz w:val="21"/>
        </w:rPr>
        <w:t>.</w:t>
      </w:r>
    </w:p>
    <w:p>
      <w:pPr>
        <w:keepNext w:val="0"/>
        <w:spacing w:before="0" w:after="40" w:line="240" w:lineRule="auto"/>
      </w:pPr>
    </w:p>
    <w:p>
      <w:pPr>
        <w:keepNext/>
        <w:spacing w:before="160" w:after="80" w:line="264" w:lineRule="auto"/>
      </w:pPr>
      <w:r>
        <w:rPr>
          <w:rFonts w:ascii="Arial" w:hAnsi="Arial" w:cs="Arial" w:eastAsia="Arial"/>
          <w:b/>
          <w:i w:val="0"/>
          <w:color w:val="1B253B"/>
          <w:sz w:val="23"/>
        </w:rPr>
        <w:t>Email, internet and messaging</w:t>
      </w:r>
    </w:p>
    <w:p>
      <w:pPr>
        <w:pStyle w:val="ListBullet"/>
        <w:keepNext w:val="0"/>
        <w:spacing w:before="0" w:after="60" w:line="276" w:lineRule="auto"/>
        <w:ind w:left="432" w:hanging="288"/>
      </w:pPr>
      <w:r>
        <w:rPr>
          <w:rFonts w:ascii="Arial" w:hAnsi="Arial" w:cs="Arial" w:eastAsia="Arial"/>
          <w:b w:val="0"/>
          <w:i w:val="0"/>
          <w:sz w:val="21"/>
        </w:rPr>
        <w:t>Be careful with links and attachments you did not expect. If in doubt, report it and do not click.</w:t>
      </w:r>
    </w:p>
    <w:p>
      <w:pPr>
        <w:pStyle w:val="ListBullet"/>
        <w:keepNext w:val="0"/>
        <w:spacing w:before="0" w:after="60" w:line="276" w:lineRule="auto"/>
        <w:ind w:left="432" w:hanging="288"/>
      </w:pPr>
      <w:r>
        <w:rPr>
          <w:rFonts w:ascii="Arial" w:hAnsi="Arial" w:cs="Arial" w:eastAsia="Arial"/>
          <w:b w:val="0"/>
          <w:i w:val="0"/>
          <w:sz w:val="21"/>
        </w:rPr>
        <w:t>Use company email and approved messaging tools for company business.</w:t>
      </w:r>
    </w:p>
    <w:p>
      <w:pPr>
        <w:pStyle w:val="ListBullet"/>
        <w:keepNext w:val="0"/>
        <w:spacing w:before="0" w:after="60" w:line="276" w:lineRule="auto"/>
        <w:ind w:left="432" w:hanging="288"/>
      </w:pPr>
      <w:r>
        <w:rPr>
          <w:rFonts w:ascii="Arial" w:hAnsi="Arial" w:cs="Arial" w:eastAsia="Arial"/>
          <w:b w:val="0"/>
          <w:i w:val="0"/>
          <w:sz w:val="21"/>
        </w:rPr>
        <w:t>Do not use company systems for anything illegal, offensive or harmful to the organisation.</w:t>
      </w:r>
    </w:p>
    <w:p>
      <w:pPr>
        <w:keepNext w:val="0"/>
        <w:spacing w:before="0" w:after="40" w:line="240" w:lineRule="auto"/>
      </w:pPr>
    </w:p>
    <w:p>
      <w:pPr>
        <w:keepNext/>
        <w:spacing w:before="160" w:after="80" w:line="264" w:lineRule="auto"/>
      </w:pPr>
      <w:r>
        <w:rPr>
          <w:rFonts w:ascii="Arial" w:hAnsi="Arial" w:cs="Arial" w:eastAsia="Arial"/>
          <w:b/>
          <w:i w:val="0"/>
          <w:color w:val="1B253B"/>
          <w:sz w:val="23"/>
        </w:rPr>
        <w:t>Working away from the office</w:t>
      </w:r>
    </w:p>
    <w:p>
      <w:pPr>
        <w:pStyle w:val="ListBullet"/>
        <w:keepNext w:val="0"/>
        <w:spacing w:before="0" w:after="60" w:line="276" w:lineRule="auto"/>
        <w:ind w:left="432" w:hanging="288"/>
      </w:pPr>
      <w:r>
        <w:rPr>
          <w:rFonts w:ascii="Arial" w:hAnsi="Arial" w:cs="Arial" w:eastAsia="Arial"/>
          <w:b w:val="0"/>
          <w:i w:val="0"/>
          <w:sz w:val="21"/>
        </w:rPr>
        <w:t xml:space="preserve">Use </w:t>
      </w:r>
      <w:sdt>
        <w:sdtPr>
          <w:alias w:val="the approved secure access tool"/>
          <w:tag w:val="34.vpn"/>
        </w:sdtPr>
        <w:sdtContent>
          <w:r>
            <w:rPr>
              <w:rFonts w:ascii="Arial" w:hAnsi="Arial" w:cs="Arial" w:eastAsia="Arial"/>
              <w:b w:val="0"/>
              <w:i w:val="0"/>
              <w:sz w:val="21"/>
              <w:highlight w:val="yellow"/>
            </w:rPr>
            <w:t>&lt;the approved secure access tool&gt;</w:t>
          </w:r>
        </w:sdtContent>
      </w:sdt>
      <w:r>
        <w:rPr>
          <w:rFonts w:ascii="Arial" w:hAnsi="Arial" w:cs="Arial" w:eastAsia="Arial"/>
          <w:b w:val="0"/>
          <w:i w:val="0"/>
          <w:sz w:val="21"/>
        </w:rPr>
        <w:t xml:space="preserve"> for sensitive work away from the office, and never on open public Wi-Fi without it.</w:t>
      </w:r>
    </w:p>
    <w:p>
      <w:pPr>
        <w:pStyle w:val="ListBullet"/>
        <w:keepNext w:val="0"/>
        <w:spacing w:before="0" w:after="60" w:line="276" w:lineRule="auto"/>
        <w:ind w:left="432" w:hanging="288"/>
      </w:pPr>
      <w:r>
        <w:rPr>
          <w:rFonts w:ascii="Arial" w:hAnsi="Arial" w:cs="Arial" w:eastAsia="Arial"/>
          <w:b w:val="0"/>
          <w:i w:val="0"/>
          <w:sz w:val="21"/>
        </w:rPr>
        <w:t>Take care that nobody can read your screen or overhear a sensitive call.</w:t>
      </w:r>
    </w:p>
    <w:p>
      <w:pPr>
        <w:pStyle w:val="ListBullet"/>
        <w:keepNext w:val="0"/>
        <w:spacing w:before="0" w:after="60" w:line="276" w:lineRule="auto"/>
        <w:ind w:left="432" w:hanging="288"/>
      </w:pPr>
      <w:r>
        <w:rPr>
          <w:rFonts w:ascii="Arial" w:hAnsi="Arial" w:cs="Arial" w:eastAsia="Arial"/>
          <w:b w:val="0"/>
          <w:i w:val="0"/>
          <w:sz w:val="21"/>
        </w:rPr>
        <w:t>Personal devices may be used for work only as the BYOD standard allows (SAMA-21).</w:t>
      </w:r>
    </w:p>
    <w:p>
      <w:pPr>
        <w:keepNext w:val="0"/>
        <w:spacing w:before="0" w:after="40" w:line="240" w:lineRule="auto"/>
      </w:pPr>
    </w:p>
    <w:p>
      <w:pPr>
        <w:keepNext/>
        <w:spacing w:before="160" w:after="80" w:line="264" w:lineRule="auto"/>
      </w:pPr>
      <w:r>
        <w:rPr>
          <w:rFonts w:ascii="Arial" w:hAnsi="Arial" w:cs="Arial" w:eastAsia="Arial"/>
          <w:b/>
          <w:i w:val="0"/>
          <w:color w:val="1B253B"/>
          <w:sz w:val="23"/>
        </w:rPr>
        <w:t>Premises</w:t>
      </w:r>
    </w:p>
    <w:p>
      <w:pPr>
        <w:pStyle w:val="ListBullet"/>
        <w:keepNext w:val="0"/>
        <w:spacing w:before="0" w:after="60" w:line="276" w:lineRule="auto"/>
        <w:ind w:left="432" w:hanging="288"/>
      </w:pPr>
      <w:r>
        <w:rPr>
          <w:rFonts w:ascii="Arial" w:hAnsi="Arial" w:cs="Arial" w:eastAsia="Arial"/>
          <w:b w:val="0"/>
          <w:i w:val="0"/>
          <w:sz w:val="21"/>
        </w:rPr>
        <w:t>Wear your badge. Do not let people you do not know follow you through a secure door.</w:t>
      </w:r>
    </w:p>
    <w:p>
      <w:pPr>
        <w:pStyle w:val="ListBullet"/>
        <w:keepNext w:val="0"/>
        <w:spacing w:before="0" w:after="60" w:line="276" w:lineRule="auto"/>
        <w:ind w:left="432" w:hanging="288"/>
      </w:pPr>
      <w:r>
        <w:rPr>
          <w:rFonts w:ascii="Arial" w:hAnsi="Arial" w:cs="Arial" w:eastAsia="Arial"/>
          <w:b w:val="0"/>
          <w:i w:val="0"/>
          <w:sz w:val="21"/>
        </w:rPr>
        <w:t>Sign visitors in and escort them in areas that are not public.</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Monitoring</w:t>
      </w:r>
    </w:p>
    <w:p>
      <w:pPr>
        <w:keepNext w:val="0"/>
        <w:spacing w:before="0" w:after="120" w:line="276" w:lineRule="auto"/>
      </w:pPr>
      <w:sdt>
        <w:sdtPr>
          <w:alias w:val="Organisation name"/>
          <w:tag w:val="company"/>
        </w:sdtPr>
        <w:sdtContent>
          <w:r>
            <w:rPr>
              <w:rFonts w:ascii="Arial" w:hAnsi="Arial" w:cs="Arial" w:eastAsia="Arial"/>
              <w:b w:val="0"/>
              <w:i w:val="0"/>
              <w:sz w:val="21"/>
              <w:highlight w:val="yellow"/>
            </w:rPr>
            <w:t>&lt;The organisation&gt;</w:t>
          </w:r>
        </w:sdtContent>
      </w:sdt>
      <w:r>
        <w:rPr>
          <w:rFonts w:ascii="Arial" w:hAnsi="Arial" w:cs="Arial" w:eastAsia="Arial"/>
          <w:b w:val="0"/>
          <w:i w:val="0"/>
          <w:sz w:val="21"/>
        </w:rPr>
        <w:t xml:space="preserve"> monitors how its systems are used, as far as the law allows, to keep them secure. Staff are told what is monitored.</w:t>
      </w:r>
    </w:p>
    <w:p>
      <w:pPr>
        <w:keepNext/>
        <w:spacing w:before="280" w:after="120" w:line="264" w:lineRule="auto"/>
      </w:pPr>
      <w:r>
        <w:rPr>
          <w:rFonts w:ascii="Arial" w:hAnsi="Arial" w:cs="Arial" w:eastAsia="Arial"/>
          <w:b/>
          <w:i w:val="0"/>
          <w:color w:val="1B253B"/>
          <w:sz w:val="28"/>
        </w:rPr>
        <w:t>5. Reporting</w:t>
      </w:r>
    </w:p>
    <w:p>
      <w:pPr>
        <w:keepNext w:val="0"/>
        <w:spacing w:before="0" w:after="120" w:line="276" w:lineRule="auto"/>
      </w:pPr>
      <w:r>
        <w:rPr>
          <w:rFonts w:ascii="Arial" w:hAnsi="Arial" w:cs="Arial" w:eastAsia="Arial"/>
          <w:b w:val="0"/>
          <w:i w:val="0"/>
          <w:sz w:val="21"/>
        </w:rPr>
        <w:t xml:space="preserve">If you clicked a suspicious link, lost a device, sent information to the wrong person, or noticed anything unusual, report it straight away to </w:t>
      </w:r>
      <w:sdt>
        <w:sdtPr>
          <w:alias w:val="Where people report security incidents"/>
          <w:tag w:val="security_contact"/>
        </w:sdtPr>
        <w:sdtContent>
          <w:r>
            <w:rPr>
              <w:rFonts w:ascii="Arial" w:hAnsi="Arial" w:cs="Arial" w:eastAsia="Arial"/>
              <w:b w:val="0"/>
              <w:i w:val="0"/>
              <w:sz w:val="21"/>
              <w:highlight w:val="yellow"/>
            </w:rPr>
            <w:t>&lt;the security contact&gt;</w:t>
          </w:r>
        </w:sdtContent>
      </w:sdt>
      <w:r>
        <w:rPr>
          <w:rFonts w:ascii="Arial" w:hAnsi="Arial" w:cs="Arial" w:eastAsia="Arial"/>
          <w:b w:val="0"/>
          <w:i w:val="0"/>
          <w:sz w:val="21"/>
        </w:rPr>
        <w:t>. Reporting quickly is never punished. Hiding an incident is a breach of this policy.</w:t>
      </w:r>
    </w:p>
    <w:p>
      <w:pPr>
        <w:keepNext/>
        <w:spacing w:before="280" w:after="120" w:line="264" w:lineRule="auto"/>
      </w:pPr>
      <w:r>
        <w:rPr>
          <w:rFonts w:ascii="Arial" w:hAnsi="Arial" w:cs="Arial" w:eastAsia="Arial"/>
          <w:b/>
          <w:i w:val="0"/>
          <w:color w:val="1B253B"/>
          <w:sz w:val="28"/>
        </w:rPr>
        <w:t>6. Breaking the rules</w:t>
      </w:r>
    </w:p>
    <w:p>
      <w:pPr>
        <w:keepNext w:val="0"/>
        <w:spacing w:before="0" w:after="120" w:line="276" w:lineRule="auto"/>
      </w:pPr>
      <w:r>
        <w:rPr>
          <w:rFonts w:ascii="Arial" w:hAnsi="Arial" w:cs="Arial" w:eastAsia="Arial"/>
          <w:b w:val="0"/>
          <w:i w:val="0"/>
          <w:sz w:val="21"/>
        </w:rPr>
        <w:t xml:space="preserve">Breaking this policy may lead to disciplinary action under </w:t>
      </w:r>
      <w:sdt>
        <w:sdtPr>
          <w:alias w:val="the HR disciplinary procedure"/>
          <w:tag w:val="34.discipline"/>
        </w:sdtPr>
        <w:sdtContent>
          <w:r>
            <w:rPr>
              <w:rFonts w:ascii="Arial" w:hAnsi="Arial" w:cs="Arial" w:eastAsia="Arial"/>
              <w:b w:val="0"/>
              <w:i w:val="0"/>
              <w:sz w:val="21"/>
              <w:highlight w:val="yellow"/>
            </w:rPr>
            <w:t>&lt;the HR disciplinary procedure&gt;</w:t>
          </w:r>
        </w:sdtContent>
      </w:sdt>
      <w:r>
        <w:rPr>
          <w:rFonts w:ascii="Arial" w:hAnsi="Arial" w:cs="Arial" w:eastAsia="Arial"/>
          <w:b w:val="0"/>
          <w:i w:val="0"/>
          <w:sz w:val="21"/>
        </w:rPr>
        <w:t xml:space="preserve"> (SAMA-12), and where the law is broken, to legal action.</w:t>
      </w:r>
    </w:p>
    <w:p>
      <w:pPr>
        <w:keepNext/>
        <w:spacing w:before="280" w:after="120" w:line="264" w:lineRule="auto"/>
      </w:pPr>
      <w:r>
        <w:rPr>
          <w:rFonts w:ascii="Arial" w:hAnsi="Arial" w:cs="Arial" w:eastAsia="Arial"/>
          <w:b/>
          <w:i w:val="0"/>
          <w:color w:val="1B253B"/>
          <w:sz w:val="28"/>
        </w:rPr>
        <w:t>7. Acceptance</w:t>
      </w:r>
    </w:p>
    <w:p>
      <w:pPr>
        <w:keepNext w:val="0"/>
        <w:spacing w:before="0" w:after="120" w:line="276" w:lineRule="auto"/>
      </w:pPr>
      <w:r>
        <w:rPr>
          <w:rFonts w:ascii="Arial" w:hAnsi="Arial" w:cs="Arial" w:eastAsia="Arial"/>
          <w:b w:val="0"/>
          <w:i w:val="0"/>
          <w:sz w:val="21"/>
        </w:rPr>
        <w:t>Everyone reads this policy when they join and again after every material change, and confirms in writing or on screen that they have read it and will follow it. The records are kept by HR.</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3456"/>
            <w:shd w:val="clear" w:color="auto" w:fill="DCE6F5"/>
          </w:tcPr>
          <w:p>
            <w:pPr>
              <w:keepNext w:val="0"/>
              <w:spacing w:before="40" w:after="40" w:line="240" w:lineRule="auto"/>
            </w:pPr>
            <w:r>
              <w:rPr>
                <w:rFonts w:ascii="Arial" w:hAnsi="Arial" w:cs="Arial" w:eastAsia="Arial"/>
                <w:b/>
                <w:i w:val="0"/>
                <w:color w:val="1B253B"/>
                <w:sz w:val="18"/>
              </w:rPr>
              <w:t>Name</w:t>
            </w:r>
          </w:p>
        </w:tc>
        <w:tc>
          <w:tcPr>
            <w:tcW w:type="dxa" w:w="3456"/>
            <w:shd w:val="clear" w:color="auto" w:fill="DCE6F5"/>
          </w:tcPr>
          <w:p>
            <w:pPr>
              <w:keepNext w:val="0"/>
              <w:spacing w:before="40" w:after="40" w:line="240" w:lineRule="auto"/>
            </w:pPr>
            <w:r>
              <w:rPr>
                <w:rFonts w:ascii="Arial" w:hAnsi="Arial" w:cs="Arial" w:eastAsia="Arial"/>
                <w:b/>
                <w:i w:val="0"/>
                <w:color w:val="1B253B"/>
                <w:sz w:val="18"/>
              </w:rPr>
              <w:t>Role</w:t>
            </w:r>
          </w:p>
        </w:tc>
        <w:tc>
          <w:tcPr>
            <w:tcW w:type="dxa" w:w="2304"/>
            <w:shd w:val="clear" w:color="auto" w:fill="DCE6F5"/>
          </w:tcPr>
          <w:p>
            <w:pPr>
              <w:keepNext w:val="0"/>
              <w:spacing w:before="40" w:after="40" w:line="240" w:lineRule="auto"/>
            </w:pPr>
            <w:r>
              <w:rPr>
                <w:rFonts w:ascii="Arial" w:hAnsi="Arial" w:cs="Arial" w:eastAsia="Arial"/>
                <w:b/>
                <w:i w:val="0"/>
                <w:color w:val="1B253B"/>
                <w:sz w:val="18"/>
              </w:rPr>
              <w:t>Date accepted</w:t>
            </w:r>
          </w:p>
        </w:tc>
      </w:tr>
      <w:tr>
        <w:trPr>
          <w:cantSplit w:val="true"/>
        </w:trPr>
        <w:tc>
          <w:tcPr>
            <w:tcW w:type="dxa" w:w="3456"/>
          </w:tcPr>
          <w:p>
            <w:pPr>
              <w:keepNext w:val="0"/>
              <w:spacing w:before="40" w:after="40" w:line="240" w:lineRule="auto"/>
            </w:pPr>
            <w:r>
              <w:rPr>
                <w:rFonts w:ascii="Arial" w:hAnsi="Arial" w:cs="Arial" w:eastAsia="Arial"/>
                <w:b w:val="0"/>
                <w:i/>
                <w:color w:val="5B6678"/>
                <w:sz w:val="18"/>
              </w:rPr>
              <w:t>[Name]</w:t>
            </w:r>
          </w:p>
        </w:tc>
        <w:tc>
          <w:tcPr>
            <w:tcW w:type="dxa" w:w="3456"/>
          </w:tcPr>
          <w:p>
            <w:pPr>
              <w:keepNext w:val="0"/>
              <w:spacing w:before="40" w:after="40" w:line="240" w:lineRule="auto"/>
            </w:pPr>
            <w:r>
              <w:rPr>
                <w:rFonts w:ascii="Arial" w:hAnsi="Arial" w:cs="Arial" w:eastAsia="Arial"/>
                <w:b w:val="0"/>
                <w:i/>
                <w:color w:val="5B6678"/>
                <w:sz w:val="18"/>
              </w:rPr>
              <w:t>[Role]</w:t>
            </w:r>
          </w:p>
        </w:tc>
        <w:tc>
          <w:tcPr>
            <w:tcW w:type="dxa" w:w="2304"/>
          </w:tcPr>
          <w:p>
            <w:pPr>
              <w:keepNext w:val="0"/>
              <w:spacing w:before="40" w:after="40" w:line="240" w:lineRule="auto"/>
            </w:pPr>
            <w:r>
              <w:rPr>
                <w:rFonts w:ascii="Arial" w:hAnsi="Arial" w:cs="Arial" w:eastAsia="Arial"/>
                <w:b w:val="0"/>
                <w:i/>
                <w:color w:val="5B6678"/>
                <w:sz w:val="18"/>
              </w:rPr>
              <w:t>[Date]</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34.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Staff who have accepted the current version</w:t>
            </w:r>
          </w:p>
        </w:tc>
        <w:tc>
          <w:tcPr>
            <w:tcW w:type="dxa" w:w="2592"/>
          </w:tcPr>
          <w:p>
            <w:pPr>
              <w:keepNext w:val="0"/>
              <w:spacing w:before="40" w:after="40" w:line="240" w:lineRule="auto"/>
            </w:pPr>
            <w:sdt>
              <w:sdtPr>
                <w:alias w:val="100%"/>
                <w:tag w:val="34.t4.r0.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Incidents caused by breaking these rules</w:t>
            </w:r>
          </w:p>
        </w:tc>
        <w:tc>
          <w:tcPr>
            <w:tcW w:type="dxa" w:w="2592"/>
          </w:tcPr>
          <w:p>
            <w:pPr>
              <w:keepNext w:val="0"/>
              <w:spacing w:before="40" w:after="40" w:line="240" w:lineRule="auto"/>
            </w:pPr>
            <w:sdt>
              <w:sdtPr>
                <w:alias w:val="Falling year on year"/>
                <w:tag w:val="34.t4.r1.c1"/>
              </w:sdtPr>
              <w:sdtContent>
                <w:r>
                  <w:rPr>
                    <w:rFonts w:ascii="Arial" w:hAnsi="Arial" w:cs="Arial" w:eastAsia="Arial"/>
                    <w:b w:val="0"/>
                    <w:i w:val="0"/>
                    <w:sz w:val="18"/>
                    <w:highlight w:val="yellow"/>
                  </w:rPr>
                  <w:t>&lt;Falling year on year&gt;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10.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11.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3.1.3.4</w:t>
            </w:r>
          </w:p>
        </w:tc>
        <w:tc>
          <w:tcPr>
            <w:tcW w:type="dxa" w:w="7920"/>
          </w:tcPr>
          <w:p>
            <w:pPr>
              <w:keepNext w:val="0"/>
              <w:spacing w:before="40" w:after="40" w:line="240" w:lineRule="auto"/>
            </w:pPr>
            <w:r>
              <w:rPr>
                <w:rFonts w:ascii="Arial" w:hAnsi="Arial" w:cs="Arial" w:eastAsia="Arial"/>
                <w:b w:val="0"/>
                <w:i w:val="0"/>
                <w:sz w:val="18"/>
              </w:rPr>
              <w:t>The policy turns requirements on classification, awareness and reporting into rules for people</w:t>
            </w:r>
          </w:p>
        </w:tc>
      </w:tr>
      <w:tr>
        <w:trPr>
          <w:cantSplit w:val="true"/>
        </w:trPr>
        <w:tc>
          <w:tcPr>
            <w:tcW w:type="dxa" w:w="1296"/>
          </w:tcPr>
          <w:p>
            <w:pPr>
              <w:keepNext w:val="0"/>
              <w:spacing w:before="40" w:after="40" w:line="240" w:lineRule="auto"/>
            </w:pPr>
            <w:r>
              <w:rPr>
                <w:rFonts w:ascii="Arial" w:hAnsi="Arial" w:cs="Arial" w:eastAsia="Arial"/>
                <w:b w:val="0"/>
                <w:i w:val="0"/>
                <w:sz w:val="18"/>
              </w:rPr>
              <w:t>3.1.4.6</w:t>
            </w:r>
          </w:p>
        </w:tc>
        <w:tc>
          <w:tcPr>
            <w:tcW w:type="dxa" w:w="7920"/>
          </w:tcPr>
          <w:p>
            <w:pPr>
              <w:keepNext w:val="0"/>
              <w:spacing w:before="40" w:after="40" w:line="240" w:lineRule="auto"/>
            </w:pPr>
            <w:r>
              <w:rPr>
                <w:rFonts w:ascii="Arial" w:hAnsi="Arial" w:cs="Arial" w:eastAsia="Arial"/>
                <w:b w:val="0"/>
                <w:i w:val="0"/>
                <w:sz w:val="18"/>
              </w:rPr>
              <w:t>Every member of staff follows the policy, standards and procedures</w:t>
            </w:r>
          </w:p>
        </w:tc>
      </w:tr>
      <w:tr>
        <w:trPr>
          <w:cantSplit w:val="true"/>
        </w:trPr>
        <w:tc>
          <w:tcPr>
            <w:tcW w:type="dxa" w:w="1296"/>
          </w:tcPr>
          <w:p>
            <w:pPr>
              <w:keepNext w:val="0"/>
              <w:spacing w:before="40" w:after="40" w:line="240" w:lineRule="auto"/>
            </w:pPr>
            <w:r>
              <w:rPr>
                <w:rFonts w:ascii="Arial" w:hAnsi="Arial" w:cs="Arial" w:eastAsia="Arial"/>
                <w:b w:val="0"/>
                <w:i w:val="0"/>
                <w:sz w:val="18"/>
              </w:rPr>
              <w:t>3.1.6.3</w:t>
            </w:r>
          </w:p>
        </w:tc>
        <w:tc>
          <w:tcPr>
            <w:tcW w:type="dxa" w:w="7920"/>
          </w:tcPr>
          <w:p>
            <w:pPr>
              <w:keepNext w:val="0"/>
              <w:spacing w:before="40" w:after="40" w:line="240" w:lineRule="auto"/>
            </w:pPr>
            <w:r>
              <w:rPr>
                <w:rFonts w:ascii="Arial" w:hAnsi="Arial" w:cs="Arial" w:eastAsia="Arial"/>
                <w:b w:val="0"/>
                <w:i w:val="0"/>
                <w:sz w:val="18"/>
              </w:rPr>
              <w:t>Awareness targets behaviours</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Acceptable Use of Information Assets</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of Information Assets</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