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2.png" ContentType="image/png"/>
  <Override PartName="/word/media/rId36.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offhab-report</w:t>
      </w:r>
    </w:p>
    <w:p>
      <w:pPr>
        <w:pStyle w:val="Author"/>
      </w:pPr>
      <w:r>
        <w:t xml:space="preserve">Jane</w:t>
      </w:r>
      <w:r>
        <w:t xml:space="preserve"> </w:t>
      </w:r>
      <w:r>
        <w:t xml:space="preserve">Doe</w:t>
      </w:r>
    </w:p>
    <w:p>
      <w:pPr>
        <w:pStyle w:val="Date"/>
      </w:pPr>
      <w:r>
        <w:t xml:space="preserve">12/2/22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This report was generated as a Quarto book.</w:t>
      </w:r>
    </w:p>
    <w:bookmarkEnd w:id="20"/>
    <w:bookmarkStart w:id="21" w:name="introduction"/>
    <w:p>
      <w:pPr>
        <w:pStyle w:val="Heading1"/>
      </w:pPr>
      <w:r>
        <w:t xml:space="preserve">1. Introduction</w:t>
      </w:r>
    </w:p>
    <w:p>
      <w:pPr>
        <w:pStyle w:val="FirstParagraph"/>
      </w:pPr>
      <w:r>
        <w:t xml:space="preserve">Development of offshore wind energy will be essential for providing renewable energy to mitigate climate change impacts, yet needs to be sited responsibly to avoid sensitive habitats. Acoustic impacts from construction and operation may negatively impact some species (Mooney, Andersson, and Stanley 2022). Hard substrate provided by the platforms may actually benefit other species (Wilson and Elliott 2009). Wind energy areas are under active development by the Bureau of Ocean Energy Management (BOEM) throughout the United States. This study will assess habitats for sensitivity throughout strategic parts of the US.</w:t>
      </w:r>
    </w:p>
    <w:bookmarkEnd w:id="21"/>
    <w:bookmarkStart w:id="31" w:name="methods"/>
    <w:p>
      <w:pPr>
        <w:pStyle w:val="Heading1"/>
      </w:pPr>
      <w:r>
        <w:t xml:space="preserve">2. Methods</w:t>
      </w:r>
    </w:p>
    <w:bookmarkStart w:id="28" w:name="spatial-hierarchy-regions-zones-blocks"/>
    <w:p>
      <w:pPr>
        <w:pStyle w:val="Heading2"/>
      </w:pPr>
      <w:r>
        <w:t xml:space="preserve">2.1 Spatial Hierarchy: Regions &gt; Zones &gt; Blocks</w:t>
      </w:r>
    </w:p>
    <w:p>
      <w:pPr>
        <w:pStyle w:val="FirstParagraph"/>
      </w:pPr>
      <w:r>
        <w:t xml:space="preserve">Determination of regions for which to assess offshore habitat was based on BOEM activity and representativeness of habitats across the continental United States (</w:t>
      </w:r>
      <w:hyperlink w:anchor="fig-map-zones">
        <w:r>
          <w:rPr>
            <w:rStyle w:val="Hyperlink"/>
          </w:rPr>
          <w:t xml:space="preserve">Figure 2.1</w:t>
        </w:r>
      </w:hyperlink>
      <w:r>
        <w:t xml:space="preserve">). The first (and presently only commercially in production) US wind farm at Block Island, NJ is in the North Atlantic where $4.4 billion was paid in offshore wind bids earlier this year (DOE news). The Atlantic seaboard slopes gradually making it appropriate for fixed platforms, whereas the Pacific coast drops off quickly into deeper depths making floating platforms more suitable. These technological differences therefore affect the bottom habitats differently. Whereas fixed platforms involve pile driving and addition of additional hard surfaces for habitats, the floating platforms leave only the benthic footprint of moorings and submarine cables.</w:t>
      </w:r>
    </w:p>
    <w:bookmarkStart w:id="26" w:name="regions-and-zones"/>
    <w:p>
      <w:pPr>
        <w:pStyle w:val="Heading3"/>
      </w:pPr>
      <w:r>
        <w:t xml:space="preserve">2.1.1 Regions and Zones</w:t>
      </w:r>
    </w:p>
    <w:tbl>
      <w:tblPr>
        <w:tblStyle w:val="Table"/>
        <w:tblW w:type="pct" w:w="5000"/>
        <w:tblLook w:firstRow="0" w:lastRow="0" w:firstColumn="0" w:lastColumn="0" w:noHBand="0" w:noVBand="0" w:val="0000"/>
      </w:tblPr>
      <w:tblGrid>
        <w:gridCol w:w="7920"/>
      </w:tblGrid>
      <w:tr>
        <w:tc>
          <w:tcPr/>
          <w:bookmarkStart w:id="25" w:name="fig-map-zones"/>
          <w:p>
            <w:pPr>
              <w:pStyle w:val="Figure"/>
              <w:jc w:val="center"/>
            </w:pPr>
            <w:r>
              <w:drawing>
                <wp:inline>
                  <wp:extent cx="5334000" cy="4267200"/>
                  <wp:effectExtent b="0" l="0" r="0" t="0"/>
                  <wp:docPr descr="" title="" id="23" name="Picture"/>
                  <a:graphic>
                    <a:graphicData uri="http://schemas.openxmlformats.org/drawingml/2006/picture">
                      <pic:pic>
                        <pic:nvPicPr>
                          <pic:cNvPr descr="./intro_files/figure-docx/fig-map-zones-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Regions (Atlantic, Gulf of Mexico, and Pacific) are subdivied into Zones corresponding to BOEM Planning Areas in federal waters clipped to the U.S. Exclusive Economic Zone (except Alaska and Hawaii). To prevent overcrowding of labels only abbreviations are shown for Central (CGM), Eastern (EGM) and Western (WGM) Gulf of Mexico.</w:t>
            </w:r>
          </w:p>
          <w:bookmarkEnd w:id="25"/>
        </w:tc>
      </w:tr>
    </w:tbl>
    <w:bookmarkEnd w:id="26"/>
    <w:bookmarkStart w:id="27" w:name="blocks"/>
    <w:p>
      <w:pPr>
        <w:pStyle w:val="Heading3"/>
      </w:pPr>
      <w:r>
        <w:t xml:space="preserve">2.1.2 Blocks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Zone</w:t>
            </w:r>
          </w:p>
        </w:tc>
        <w:tc>
          <w:tcPr>
            <w:tcBorders>
              <w:top w:val="single" w:sz="16" w:space="0" w:color="D3D3D3"/>
              <w:bottom w:val="single" w:sz="16" w:space="0" w:color="D3D3D3"/>
            </w:tcBorders>
          </w:tcPr>
          <w:p>
            <w:pPr>
              <w:spacing w:before="0" w:after="60"/>
              <w:keepNext/>
            </w:pPr>
            <w:r>
              <w:rPr>
                <w:rFonts w:ascii="Calibri" w:hAnsi="Calibri"/>
                <w:sz w:val="20"/>
              </w:rPr>
              <w:t xml:space="default"># of Blocks</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Block Area (km&lt;sup&gt;2&lt;/sup&gt;)</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3"/>
              <w:keepNext/>
            </w:pPr>
            <w:r>
              <w:rPr>
                <w:rFonts w:ascii="Calibri" w:hAnsi="Calibri"/>
                <w:sz w:val="20"/>
              </w:rPr>
              <w:t xml:space="default">Atlantic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 Atlantic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16,534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North Atlantic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South Atlantic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3,448</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3"/>
              <w:keepNext/>
            </w:pPr>
            <w:r>
              <w:rPr>
                <w:rFonts w:ascii="Calibri" w:hAnsi="Calibri"/>
                <w:sz w:val="20"/>
              </w:rPr>
              <w:t xml:space="default">Gulf of Mexico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Central Gulf of Mexico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Western Gulf of Mexico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2,215</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3"/>
              <w:keepNext/>
            </w:pPr>
            <w:r>
              <w:rPr>
                <w:rFonts w:ascii="Calibri" w:hAnsi="Calibri"/>
                <w:sz w:val="20"/>
              </w:rPr>
              <w:t xml:space="default">Pacific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Central California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Northern California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Southern California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Washington/Oregon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4,684</w:t>
            </w:r>
          </w:p>
        </w:tc>
      </w:tr>
    </w:tbl>
    <w:bookmarkEnd w:id="27"/>
    <w:bookmarkEnd w:id="28"/>
    <w:bookmarkStart w:id="29" w:name="datasets"/>
    <w:p>
      <w:pPr>
        <w:pStyle w:val="Heading2"/>
      </w:pPr>
      <w:r>
        <w:t xml:space="preserve">2.2 Datasets</w:t>
      </w:r>
    </w:p>
    <w:bookmarkEnd w:id="29"/>
    <w:bookmarkStart w:id="30" w:name="analysis"/>
    <w:p>
      <w:pPr>
        <w:pStyle w:val="Heading2"/>
      </w:pPr>
      <w:r>
        <w:t xml:space="preserve">2.3 Analysis</w:t>
      </w:r>
    </w:p>
    <w:p>
      <w:pPr>
        <w:pStyle w:val="FirstParagraph"/>
      </w:pPr>
      <w:r>
        <w:t xml:space="preserve">A couple fundamental questions driving this analysis are:</w:t>
      </w:r>
      <w:r>
        <w:t xml:space="preserve"> </w:t>
      </w:r>
      <w:r>
        <w:t xml:space="preserve">How different are existing lease areas from the rest of the region? (intra-region)</w:t>
      </w:r>
    </w:p>
    <w:p>
      <w:pPr>
        <w:pStyle w:val="BodyText"/>
      </w:pPr>
      <w:r>
        <w:t xml:space="preserve">Areas not already slated for the offshore wind leasing impact species and habitats less, so could be candidates for alternative future planning. Areas with designated military use and outside BOEM’s authority (e.g., National Marine Sanctuaries) need to be further excluded from consideration.</w:t>
      </w:r>
    </w:p>
    <w:p>
      <w:pPr>
        <w:pStyle w:val="BodyText"/>
      </w:pPr>
      <w:r>
        <w:t xml:space="preserve">How different are existing lease areas from each other within a given region? (inter-lease)</w:t>
      </w:r>
    </w:p>
    <w:p>
      <w:pPr>
        <w:pStyle w:val="BodyText"/>
      </w:pPr>
      <w:r>
        <w:t xml:space="preserve">Within the leasing process the most oversight can be exercised within existing lease areas, especially ones in the earlier stages of Proposed Sale Notices and Call Areas. Identifying less impacted lease areas may lend greater stakeholder support for development.</w:t>
      </w:r>
    </w:p>
    <w:p>
      <w:pPr>
        <w:pStyle w:val="BodyText"/>
      </w:pPr>
      <w:r>
        <w:t xml:space="preserve">Benthic habitats will be the focus of input data, predominantly available through the Marine Cadastre (Table 1), especially based on seafloor properties (e.g., rock, grain size, rugosity), the presence of habitat forming species (e.g, coral, seagrasses, kelp) and other species. Species data will also be assessed from the AquaMaps distribution and OBIS observations.</w:t>
      </w:r>
    </w:p>
    <w:bookmarkEnd w:id="30"/>
    <w:bookmarkEnd w:id="31"/>
    <w:bookmarkStart w:id="46" w:name="preliminary-results"/>
    <w:p>
      <w:pPr>
        <w:pStyle w:val="Heading1"/>
      </w:pPr>
      <w:r>
        <w:t xml:space="preserve">3. Preliminary Results</w:t>
      </w:r>
    </w:p>
    <w:bookmarkStart w:id="40" w:name="Xd43291028e0cebe02a7a44ab92a291543900ff6"/>
    <w:p>
      <w:pPr>
        <w:pStyle w:val="Heading2"/>
      </w:pPr>
      <w:r>
        <w:t xml:space="preserve">3.1 Zones across U.S. (lower 48) Federal Waters</w:t>
      </w:r>
    </w:p>
    <w:bookmarkStart w:id="35" w:name="species-presence"/>
    <w:p>
      <w:pPr>
        <w:pStyle w:val="Heading4"/>
      </w:pPr>
      <w:r>
        <w:t xml:space="preserve">3.1.0.1 Species Presence</w:t>
      </w:r>
    </w:p>
    <w:p>
      <w:pPr>
        <w:pStyle w:val="FirstParagraph"/>
      </w:pPr>
      <w:r>
        <w:drawing>
          <wp:inline>
            <wp:extent cx="5334000" cy="4267200"/>
            <wp:effectExtent b="0" l="0" r="0" t="0"/>
            <wp:docPr descr="" title="" id="33" name="Picture"/>
            <a:graphic>
              <a:graphicData uri="http://schemas.openxmlformats.org/drawingml/2006/picture">
                <pic:pic>
                  <pic:nvPicPr>
                    <pic:cNvPr descr="./prelim_files/figure-docx/unnamed-chunk-2-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bookmarkEnd w:id="35"/>
    <w:bookmarkStart w:id="39" w:name="species-abundance"/>
    <w:p>
      <w:pPr>
        <w:pStyle w:val="Heading4"/>
      </w:pPr>
      <w:r>
        <w:t xml:space="preserve">3.1.0.2 Species Abundance</w:t>
      </w:r>
    </w:p>
    <w:p>
      <w:pPr>
        <w:pStyle w:val="FirstParagraph"/>
      </w:pPr>
      <w:r>
        <w:drawing>
          <wp:inline>
            <wp:extent cx="5334000" cy="4267200"/>
            <wp:effectExtent b="0" l="0" r="0" t="0"/>
            <wp:docPr descr="" title="" id="37" name="Picture"/>
            <a:graphic>
              <a:graphicData uri="http://schemas.openxmlformats.org/drawingml/2006/picture">
                <pic:pic>
                  <pic:nvPicPr>
                    <pic:cNvPr descr="./prelim_files/figure-docx/unnamed-chunk-3-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bookmarkEnd w:id="39"/>
    <w:bookmarkEnd w:id="40"/>
    <w:bookmarkStart w:id="44" w:name="species-composition-for-study-area"/>
    <w:p>
      <w:pPr>
        <w:pStyle w:val="Heading2"/>
      </w:pPr>
      <w:r>
        <w:t xml:space="preserve">3.2 Species Composition for Study Area</w:t>
      </w:r>
    </w:p>
    <w:p>
      <w:pPr>
        <w:pStyle w:val="FirstParagraph"/>
      </w:pPr>
      <w:r>
        <w:drawing>
          <wp:inline>
            <wp:extent cx="5334000" cy="4267200"/>
            <wp:effectExtent b="0" l="0" r="0" t="0"/>
            <wp:docPr descr="" title="" id="42" name="Picture"/>
            <a:graphic>
              <a:graphicData uri="http://schemas.openxmlformats.org/drawingml/2006/picture">
                <pic:pic>
                  <pic:nvPicPr>
                    <pic:cNvPr descr="./prelim_files/figure-docx/unnamed-chunk-4-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bookmarkEnd w:id="44"/>
    <w:bookmarkStart w:id="45" w:name="block-relative-to-zones"/>
    <w:p>
      <w:pPr>
        <w:pStyle w:val="Heading2"/>
      </w:pPr>
      <w:r>
        <w:t xml:space="preserve">3.3 Block relative to Zones</w:t>
      </w:r>
    </w:p>
    <w:p>
      <w:pPr>
        <w:pStyle w:val="FirstParagraph"/>
      </w:pPr>
      <w:r>
        <w:t xml:space="preserve">…</w:t>
      </w:r>
    </w:p>
    <w:bookmarkEnd w:id="45"/>
    <w:bookmarkEnd w:id="46"/>
    <w:bookmarkStart w:id="47" w:name="summary"/>
    <w:p>
      <w:pPr>
        <w:pStyle w:val="Heading1"/>
      </w:pPr>
      <w:r>
        <w:t xml:space="preserve">4. Summary</w:t>
      </w:r>
    </w:p>
    <w:p>
      <w:pPr>
        <w:pStyle w:val="FirstParagraph"/>
      </w:pPr>
      <w:r>
        <w:t xml:space="preserve">…</w:t>
      </w:r>
    </w:p>
    <w:bookmarkEnd w:id="47"/>
    <w:bookmarkStart w:id="49" w:name="references"/>
    <w:p>
      <w:pPr>
        <w:pStyle w:val="Heading1"/>
      </w:pPr>
      <w:r>
        <w:t xml:space="preserve">References</w:t>
      </w:r>
    </w:p>
    <w:bookmarkStart w:id="48" w:name="refs"/>
    <w:bookmarkEnd w:id="48"/>
    <w:bookmarkEnd w:id="49"/>
    <w:bookmarkStart w:id="59" w:name="technical"/>
    <w:p>
      <w:pPr>
        <w:pStyle w:val="Heading1"/>
      </w:pPr>
      <w:r>
        <w:t xml:space="preserve">Appendix A — Technical</w:t>
      </w:r>
    </w:p>
    <w:bookmarkStart w:id="58" w:name="relational-database-structure"/>
    <w:p>
      <w:pPr>
        <w:pStyle w:val="Heading2"/>
      </w:pPr>
      <w:r>
        <w:t xml:space="preserve">A.1 Relational Database Structure</w:t>
      </w:r>
    </w:p>
    <w:bookmarkStart w:id="50" w:name="typography"/>
    <w:p>
      <w:pPr>
        <w:pStyle w:val="Heading3"/>
      </w:pPr>
      <w:r>
        <w:t xml:space="preserve">A.1.1 Typography</w:t>
      </w:r>
    </w:p>
    <w:p>
      <w:pPr>
        <w:numPr>
          <w:ilvl w:val="0"/>
          <w:numId w:val="1001"/>
        </w:numPr>
        <w:pStyle w:val="Compact"/>
      </w:pPr>
      <w:r>
        <w:rPr>
          <w:rStyle w:val="VerbatimChar"/>
        </w:rPr>
        <w:t xml:space="preserve">*</w:t>
      </w:r>
      <w:r>
        <w:t xml:space="preserve">: wildcard indicating any value, such as</w:t>
      </w:r>
      <w:r>
        <w:t xml:space="preserve"> </w:t>
      </w:r>
      <w:r>
        <w:rPr>
          <w:rStyle w:val="VerbatimChar"/>
        </w:rPr>
        <w:t xml:space="preserve">*.csv</w:t>
      </w:r>
      <w:r>
        <w:t xml:space="preserve"> </w:t>
      </w:r>
      <w:r>
        <w:t xml:space="preserve">for any file name ending in</w:t>
      </w:r>
      <w:r>
        <w:t xml:space="preserve"> </w:t>
      </w:r>
      <w:r>
        <w:rPr>
          <w:rStyle w:val="VerbatimChar"/>
        </w:rPr>
        <w:t xml:space="preserve">.csv</w:t>
      </w:r>
    </w:p>
    <w:p>
      <w:pPr>
        <w:numPr>
          <w:ilvl w:val="0"/>
          <w:numId w:val="1001"/>
        </w:numPr>
        <w:pStyle w:val="Compact"/>
      </w:pPr>
      <w:r>
        <w:rPr>
          <w:rStyle w:val="VerbatimChar"/>
        </w:rPr>
        <w:t xml:space="preserve">{*}</w:t>
      </w:r>
      <w:r>
        <w:t xml:space="preserve">: surrounding curly braces (</w:t>
      </w:r>
      <w:r>
        <w:rPr>
          <w:rStyle w:val="VerbatimChar"/>
        </w:rPr>
        <w:t xml:space="preserve">{}</w:t>
      </w:r>
      <w:r>
        <w:t xml:space="preserve">) indicates variable substitution, e.g. </w:t>
      </w:r>
      <w:r>
        <w:rPr>
          <w:rStyle w:val="VerbatimChar"/>
        </w:rPr>
        <w:t xml:space="preserve">ds_{mdl_key}</w:t>
      </w:r>
      <w:r>
        <w:t xml:space="preserve"> </w:t>
      </w:r>
      <w:r>
        <w:t xml:space="preserve">would evaluate to the value</w:t>
      </w:r>
      <w:r>
        <w:t xml:space="preserve"> </w:t>
      </w:r>
      <w:r>
        <w:rPr>
          <w:rStyle w:val="VerbatimChar"/>
        </w:rPr>
        <w:t xml:space="preserve">ds_am</w:t>
      </w:r>
      <w:r>
        <w:t xml:space="preserve"> </w:t>
      </w:r>
      <w:r>
        <w:t xml:space="preserve">for</w:t>
      </w:r>
      <w:r>
        <w:t xml:space="preserve"> </w:t>
      </w:r>
      <w:r>
        <w:rPr>
          <w:rStyle w:val="VerbatimChar"/>
        </w:rPr>
        <w:t xml:space="preserve">mdl_key = "am"</w:t>
      </w:r>
      <w:r>
        <w:t xml:space="preserve">, as in the dataset (</w:t>
      </w:r>
      <w:r>
        <w:rPr>
          <w:rStyle w:val="VerbatimChar"/>
        </w:rPr>
        <w:t xml:space="preserve">ds</w:t>
      </w:r>
      <w:r>
        <w:t xml:space="preserve">) for AquaMaps (</w:t>
      </w:r>
      <w:r>
        <w:rPr>
          <w:rStyle w:val="VerbatimChar"/>
        </w:rPr>
        <w:t xml:space="preserve">am</w:t>
      </w:r>
      <w:r>
        <w:t xml:space="preserve">)</w:t>
      </w:r>
    </w:p>
    <w:p>
      <w:pPr>
        <w:numPr>
          <w:ilvl w:val="0"/>
          <w:numId w:val="1001"/>
        </w:numPr>
        <w:pStyle w:val="Compact"/>
      </w:pPr>
      <w:r>
        <w:rPr>
          <w:rStyle w:val="VerbatimChar"/>
        </w:rPr>
        <w:t xml:space="preserve">[*]</w:t>
      </w:r>
      <w:r>
        <w:t xml:space="preserve">: surrounding brackets (</w:t>
      </w:r>
      <w:r>
        <w:rPr>
          <w:rStyle w:val="VerbatimChar"/>
        </w:rPr>
        <w:t xml:space="preserve">[]</w:t>
      </w:r>
      <w:r>
        <w:t xml:space="preserve">) indicates an optional value, such as</w:t>
      </w:r>
      <w:r>
        <w:t xml:space="preserve"> </w:t>
      </w:r>
      <w:r>
        <w:rPr>
          <w:rStyle w:val="VerbatimChar"/>
        </w:rPr>
        <w:t xml:space="preserve">[ply_grp]</w:t>
      </w:r>
      <w:r>
        <w:t xml:space="preserve"> </w:t>
      </w:r>
      <w:r>
        <w:t xml:space="preserve">is an optional column in the</w:t>
      </w:r>
      <w:r>
        <w:t xml:space="preserve"> </w:t>
      </w:r>
      <w:r>
        <w:rPr>
          <w:rStyle w:val="VerbatimChar"/>
        </w:rPr>
        <w:t xml:space="preserve">ds_gm</w:t>
      </w:r>
      <w:r>
        <w:t xml:space="preserve"> </w:t>
      </w:r>
      <w:r>
        <w:t xml:space="preserve">table</w:t>
      </w:r>
    </w:p>
    <w:p>
      <w:pPr>
        <w:numPr>
          <w:ilvl w:val="0"/>
          <w:numId w:val="1001"/>
        </w:numPr>
        <w:pStyle w:val="Compact"/>
      </w:pPr>
      <w:r>
        <w:rPr>
          <w:rStyle w:val="VerbatimChar"/>
        </w:rPr>
        <w:t xml:space="preserve">&lt;*&gt;</w:t>
      </w:r>
      <w:r>
        <w:t xml:space="preserve">: surrounds the columns used to identify columns that uniquely identify (and index) each row</w:t>
      </w:r>
    </w:p>
    <w:p>
      <w:pPr>
        <w:numPr>
          <w:ilvl w:val="0"/>
          <w:numId w:val="1001"/>
        </w:numPr>
        <w:pStyle w:val="Compact"/>
      </w:pPr>
      <w:r>
        <w:rPr>
          <w:rStyle w:val="VerbatimChar"/>
        </w:rPr>
        <w:t xml:space="preserve">...</w:t>
      </w:r>
      <w:r>
        <w:t xml:space="preserve">: additional columns, unique to the table</w:t>
      </w:r>
    </w:p>
    <w:p>
      <w:pPr>
        <w:pStyle w:val="FirstParagraph"/>
      </w:pPr>
      <w:r>
        <w:t xml:space="preserve">The format below is of the following format where the top line of a bulleted list item describes the table and the columns in that table are directly below, nested in hierarchical order:</w:t>
      </w:r>
    </w:p>
    <w:p>
      <w:pPr>
        <w:numPr>
          <w:ilvl w:val="0"/>
          <w:numId w:val="1002"/>
        </w:numPr>
        <w:pStyle w:val="Compact"/>
      </w:pPr>
      <w:r>
        <w:rPr>
          <w:rStyle w:val="VerbatimChar"/>
        </w:rPr>
        <w:t xml:space="preserve">{table name}</w:t>
      </w:r>
      <w:r>
        <w:t xml:space="preserve"> </w:t>
      </w:r>
      <w:r>
        <w:t xml:space="preserve">(</w:t>
      </w:r>
      <w:r>
        <w:rPr>
          <w:rStyle w:val="VerbatimChar"/>
        </w:rPr>
        <w:t xml:space="preserve">{description}</w:t>
      </w:r>
      <w:r>
        <w:t xml:space="preserve">)</w:t>
      </w:r>
      <w:r>
        <w:br/>
      </w:r>
      <w:r>
        <w:t xml:space="preserve">&lt;</w:t>
      </w:r>
      <w:r>
        <w:rPr>
          <w:rStyle w:val="VerbatimChar"/>
        </w:rPr>
        <w:t xml:space="preserve">{column 1}</w:t>
      </w:r>
      <w:r>
        <w:t xml:space="preserve">,</w:t>
      </w:r>
      <w:r>
        <w:t xml:space="preserve"> </w:t>
      </w:r>
      <w:r>
        <w:rPr>
          <w:rStyle w:val="VerbatimChar"/>
        </w:rPr>
        <w:t xml:space="preserve">{column 2}</w:t>
      </w:r>
      <w:r>
        <w:t xml:space="preserve">&gt;,</w:t>
      </w:r>
      <w:r>
        <w:t xml:space="preserve"> </w:t>
      </w:r>
      <w:r>
        <w:rPr>
          <w:rStyle w:val="VerbatimChar"/>
        </w:rPr>
        <w:t xml:space="preserve">{column 3}</w:t>
      </w:r>
      <w:r>
        <w:t xml:space="preserve">,</w:t>
      </w:r>
      <w:r>
        <w:t xml:space="preserve"> </w:t>
      </w:r>
      <w:r>
        <w:rPr>
          <w:rStyle w:val="VerbatimChar"/>
        </w:rPr>
        <w:t xml:space="preserve">...</w:t>
      </w:r>
    </w:p>
    <w:bookmarkEnd w:id="50"/>
    <w:bookmarkStart w:id="51" w:name="database-naming-conventions"/>
    <w:p>
      <w:pPr>
        <w:pStyle w:val="Heading3"/>
      </w:pPr>
      <w:r>
        <w:t xml:space="preserve">A.1.2 Database Naming Conventions</w:t>
      </w:r>
    </w:p>
    <w:p>
      <w:pPr>
        <w:numPr>
          <w:ilvl w:val="0"/>
          <w:numId w:val="1003"/>
        </w:numPr>
        <w:pStyle w:val="Compact"/>
      </w:pPr>
      <w:r>
        <w:t xml:space="preserve">Use all</w:t>
      </w:r>
      <w:r>
        <w:t xml:space="preserve"> </w:t>
      </w:r>
      <w:r>
        <w:rPr>
          <w:bCs/>
          <w:b/>
        </w:rPr>
        <w:t xml:space="preserve">lower-case</w:t>
      </w:r>
      <w:r>
        <w:t xml:space="preserve"> </w:t>
      </w:r>
      <w:r>
        <w:t xml:space="preserve">column names with underscores (i.e. from using</w:t>
      </w:r>
      <w:r>
        <w:t xml:space="preserve"> </w:t>
      </w:r>
      <w:r>
        <w:rPr>
          <w:rStyle w:val="VerbatimChar"/>
        </w:rPr>
        <w:t xml:space="preserve">janitor::clean_names()</w:t>
      </w:r>
      <w:r>
        <w:t xml:space="preserve">) to prevent need to quote SQL statements.</w:t>
      </w:r>
    </w:p>
    <w:p>
      <w:pPr>
        <w:numPr>
          <w:ilvl w:val="0"/>
          <w:numId w:val="1003"/>
        </w:numPr>
        <w:pStyle w:val="Compact"/>
      </w:pPr>
      <w:r>
        <w:t xml:space="preserve">For short unique</w:t>
      </w:r>
      <w:r>
        <w:t xml:space="preserve"> </w:t>
      </w:r>
      <w:r>
        <w:rPr>
          <w:bCs/>
          <w:b/>
        </w:rPr>
        <w:t xml:space="preserve">identifiers</w:t>
      </w:r>
      <w:r>
        <w:t xml:space="preserve"> </w:t>
      </w:r>
      <w:r>
        <w:t xml:space="preserve">use suffix</w:t>
      </w:r>
      <w:r>
        <w:t xml:space="preserve"> </w:t>
      </w:r>
      <w:r>
        <w:rPr>
          <w:rStyle w:val="VerbatimChar"/>
        </w:rPr>
        <w:t xml:space="preserve">*_id</w:t>
      </w:r>
      <w:r>
        <w:t xml:space="preserve"> </w:t>
      </w:r>
      <w:r>
        <w:t xml:space="preserve">for integer and</w:t>
      </w:r>
      <w:r>
        <w:t xml:space="preserve"> </w:t>
      </w:r>
      <w:r>
        <w:rPr>
          <w:rStyle w:val="VerbatimChar"/>
        </w:rPr>
        <w:t xml:space="preserve">*_key</w:t>
      </w:r>
      <w:r>
        <w:t xml:space="preserve"> </w:t>
      </w:r>
      <w:r>
        <w:t xml:space="preserve">for short text.</w:t>
      </w:r>
    </w:p>
    <w:bookmarkEnd w:id="51"/>
    <w:bookmarkStart w:id="54" w:name="models-based-on-polygons"/>
    <w:p>
      <w:pPr>
        <w:pStyle w:val="Heading3"/>
      </w:pPr>
      <w:r>
        <w:t xml:space="preserve">A.1.3 Models Based on Polygons</w:t>
      </w:r>
    </w:p>
    <w:p>
      <w:pPr>
        <w:pStyle w:val="FirstParagraph"/>
      </w:pPr>
      <w:r>
        <w:t xml:space="preserve">Models based on polygons have an attribute table that may contain multiple values of interest. The normalized form of the database should not require repeating the geometry for each polygon to reproduce the original dataset that may be shared across values for an individual model as well as across multiple models. If models in the dataset use more than one collection of polygons, then the polygon group</w:t>
      </w:r>
      <w:r>
        <w:t xml:space="preserve"> </w:t>
      </w:r>
      <w:r>
        <w:rPr>
          <w:rStyle w:val="VerbatimChar"/>
        </w:rPr>
        <w:t xml:space="preserve">ply_grp</w:t>
      </w:r>
      <w:r>
        <w:t xml:space="preserve"> </w:t>
      </w:r>
      <w:r>
        <w:t xml:space="preserve">field is optionally used to differentiate which set of polygons to use.</w:t>
      </w:r>
    </w:p>
    <w:p>
      <w:pPr>
        <w:pStyle w:val="BodyText"/>
      </w:pPr>
      <w:r>
        <w:t xml:space="preserve">All features are projected to the geographic (</w:t>
      </w:r>
      <w:r>
        <w:rPr>
          <w:rStyle w:val="VerbatimChar"/>
        </w:rPr>
        <w:t xml:space="preserve">EPSG:4326</w:t>
      </w:r>
      <w:r>
        <w:t xml:space="preserve">) coordinate reference system for</w:t>
      </w:r>
      <w:r>
        <w:t xml:space="preserve"> </w:t>
      </w:r>
      <w:hyperlink r:id="rId52">
        <w:r>
          <w:rPr>
            <w:rStyle w:val="VerbatimChar"/>
          </w:rPr>
          <w:t xml:space="preserve">leaflet</w:t>
        </w:r>
        <w:r>
          <w:rPr>
            <w:rStyle w:val="Hyperlink"/>
          </w:rPr>
          <w:t xml:space="preserve"> </w:t>
        </w:r>
        <w:r>
          <w:rPr>
            <w:rStyle w:val="Hyperlink"/>
          </w:rPr>
          <w:t xml:space="preserve">R package visualization of polygons</w:t>
        </w:r>
      </w:hyperlink>
      <w:r>
        <w:t xml:space="preserve"> </w:t>
      </w:r>
      <w:r>
        <w:t xml:space="preserve">with</w:t>
      </w:r>
      <w:r>
        <w:t xml:space="preserve"> </w:t>
      </w:r>
      <w:r>
        <w:t xml:space="preserve">“</w:t>
      </w:r>
      <w:r>
        <w:t xml:space="preserve">slippy</w:t>
      </w:r>
      <w:r>
        <w:t xml:space="preserve">”</w:t>
      </w:r>
      <w:r>
        <w:t xml:space="preserve"> </w:t>
      </w:r>
      <w:r>
        <w:t xml:space="preserve">basemaps (e.g. </w:t>
      </w:r>
      <w:r>
        <w:t xml:space="preserve">“</w:t>
      </w:r>
      <w:r>
        <w:t xml:space="preserve">Esri.OceanBasemap</w:t>
      </w:r>
      <w:r>
        <w:t xml:space="preserve">”</w:t>
      </w:r>
      <w:r>
        <w:t xml:space="preserve"> </w:t>
      </w:r>
      <w:r>
        <w:t xml:space="preserve">at</w:t>
      </w:r>
      <w:r>
        <w:t xml:space="preserve"> </w:t>
      </w:r>
      <w:hyperlink r:id="rId53">
        <w:r>
          <w:rPr>
            <w:rStyle w:val="Hyperlink"/>
          </w:rPr>
          <w:t xml:space="preserve">Leaflet Providers</w:t>
        </w:r>
      </w:hyperlink>
      <w:r>
        <w:t xml:space="preserve">).</w:t>
      </w:r>
    </w:p>
    <w:p>
      <w:pPr>
        <w:numPr>
          <w:ilvl w:val="0"/>
          <w:numId w:val="1004"/>
        </w:numPr>
      </w:pPr>
      <w:r>
        <w:rPr>
          <w:rStyle w:val="VerbatimChar"/>
        </w:rPr>
        <w:t xml:space="preserve">datasets</w:t>
      </w:r>
      <w:r>
        <w:br/>
      </w:r>
      <w:r>
        <w:t xml:space="preserve">&lt;</w:t>
      </w:r>
      <w:r>
        <w:rPr>
          <w:rStyle w:val="VerbatimChar"/>
        </w:rPr>
        <w:t xml:space="preserve">ds_key</w:t>
      </w:r>
      <w:r>
        <w:t xml:space="preserve">&gt;,</w:t>
      </w:r>
      <w:r>
        <w:t xml:space="preserve"> </w:t>
      </w:r>
      <w:r>
        <w:rPr>
          <w:rStyle w:val="VerbatimChar"/>
        </w:rPr>
        <w:t xml:space="preserve">...</w:t>
      </w:r>
    </w:p>
    <w:p>
      <w:pPr>
        <w:numPr>
          <w:ilvl w:val="0"/>
          <w:numId w:val="1004"/>
        </w:numPr>
      </w:pPr>
      <w:r>
        <w:rPr>
          <w:rStyle w:val="VerbatimChar"/>
        </w:rPr>
        <w:t xml:space="preserve">cells_ds_ply</w:t>
      </w:r>
      <w:r>
        <w:t xml:space="preserve"> </w:t>
      </w:r>
      <w:r>
        <w:t xml:space="preserve">(cells to dataset polygons)</w:t>
      </w:r>
      <w:r>
        <w:br/>
      </w:r>
      <w:r>
        <w:t xml:space="preserve">&lt;</w:t>
      </w:r>
      <w:r>
        <w:rPr>
          <w:rStyle w:val="VerbatimChar"/>
        </w:rPr>
        <w:t xml:space="preserve">ds_key</w:t>
      </w:r>
      <w:r>
        <w:t xml:space="preserve">,</w:t>
      </w:r>
      <w:r>
        <w:t xml:space="preserve"> </w:t>
      </w:r>
      <w:r>
        <w:rPr>
          <w:rStyle w:val="VerbatimChar"/>
        </w:rPr>
        <w:t xml:space="preserve">ply_id</w:t>
      </w:r>
      <w:r>
        <w:t xml:space="preserve">,</w:t>
      </w:r>
      <w:r>
        <w:t xml:space="preserve"> </w:t>
      </w:r>
      <w:r>
        <w:rPr>
          <w:rStyle w:val="VerbatimChar"/>
        </w:rPr>
        <w:t xml:space="preserve">cell_id</w:t>
      </w:r>
      <w:r>
        <w:t xml:space="preserve">&gt;</w:t>
      </w:r>
    </w:p>
    <w:p>
      <w:pPr>
        <w:numPr>
          <w:ilvl w:val="0"/>
          <w:numId w:val="1004"/>
        </w:numPr>
      </w:pPr>
      <w:r>
        <w:rPr>
          <w:rStyle w:val="VerbatimChar"/>
        </w:rPr>
        <w:t xml:space="preserve">ds_{ds_key}</w:t>
      </w:r>
      <w:r>
        <w:t xml:space="preserve"> </w:t>
      </w:r>
      <w:r>
        <w:t xml:space="preserve">(dataset model attributes)</w:t>
      </w:r>
      <w:r>
        <w:br/>
      </w:r>
      <w:r>
        <w:t xml:space="preserve">&lt;</w:t>
      </w:r>
      <w:r>
        <w:rPr>
          <w:rStyle w:val="VerbatimChar"/>
        </w:rPr>
        <w:t xml:space="preserve">ds_key</w:t>
      </w:r>
      <w:r>
        <w:t xml:space="preserve">,</w:t>
      </w:r>
      <w:r>
        <w:t xml:space="preserve"> </w:t>
      </w:r>
      <w:r>
        <w:rPr>
          <w:rStyle w:val="VerbatimChar"/>
        </w:rPr>
        <w:t xml:space="preserve">mdl_id</w:t>
      </w:r>
      <w:r>
        <w:t xml:space="preserve">&gt;,</w:t>
      </w:r>
      <w:r>
        <w:t xml:space="preserve"> </w:t>
      </w:r>
      <w:r>
        <w:rPr>
          <w:rStyle w:val="VerbatimChar"/>
        </w:rPr>
        <w:t xml:space="preserve">aphia_id</w:t>
      </w:r>
      <w:r>
        <w:t xml:space="preserve">,</w:t>
      </w:r>
      <w:r>
        <w:t xml:space="preserve"> </w:t>
      </w:r>
      <w:r>
        <w:rPr>
          <w:rStyle w:val="VerbatimChar"/>
        </w:rPr>
        <w:t xml:space="preserve">fld_ply_val</w:t>
      </w:r>
      <w:r>
        <w:t xml:space="preserve">,</w:t>
      </w:r>
      <w:r>
        <w:t xml:space="preserve"> </w:t>
      </w:r>
      <w:r>
        <w:rPr>
          <w:rStyle w:val="VerbatimChar"/>
        </w:rPr>
        <w:t xml:space="preserve">val_type</w:t>
      </w:r>
      <w:r>
        <w:t xml:space="preserve">,</w:t>
      </w:r>
      <w:r>
        <w:t xml:space="preserve"> </w:t>
      </w:r>
      <w:r>
        <w:rPr>
          <w:rStyle w:val="VerbatimChar"/>
        </w:rPr>
        <w:t xml:space="preserve">...</w:t>
      </w:r>
    </w:p>
    <w:p>
      <w:pPr>
        <w:numPr>
          <w:ilvl w:val="0"/>
          <w:numId w:val="1004"/>
        </w:numPr>
      </w:pPr>
      <w:r>
        <w:rPr>
          <w:rStyle w:val="VerbatimChar"/>
        </w:rPr>
        <w:t xml:space="preserve">ds_{ds_key}_plys</w:t>
      </w:r>
      <w:r>
        <w:t xml:space="preserve"> </w:t>
      </w:r>
      <w:r>
        <w:t xml:space="preserve">(dataset polygon attributes, including values)</w:t>
      </w:r>
      <w:r>
        <w:br/>
      </w:r>
      <w:r>
        <w:t xml:space="preserve">&lt;</w:t>
      </w:r>
      <w:r>
        <w:rPr>
          <w:rStyle w:val="VerbatimChar"/>
        </w:rPr>
        <w:t xml:space="preserve">ds_key</w:t>
      </w:r>
      <w:r>
        <w:t xml:space="preserve">,</w:t>
      </w:r>
      <w:r>
        <w:t xml:space="preserve"> </w:t>
      </w:r>
      <w:r>
        <w:rPr>
          <w:rStyle w:val="VerbatimChar"/>
        </w:rPr>
        <w:t xml:space="preserve">ply_id</w:t>
      </w:r>
      <w:r>
        <w:t xml:space="preserve">&gt;,</w:t>
      </w:r>
      <w:r>
        <w:t xml:space="preserve"> </w:t>
      </w:r>
      <w:r>
        <w:rPr>
          <w:rStyle w:val="VerbatimChar"/>
        </w:rPr>
        <w:t xml:space="preserve">val</w:t>
      </w:r>
      <w:r>
        <w:t xml:space="preserve"> </w:t>
      </w:r>
      <w:r>
        <w:t xml:space="preserve">=</w:t>
      </w:r>
      <w:r>
        <w:t xml:space="preserve"> </w:t>
      </w:r>
      <w:r>
        <w:rPr>
          <w:rStyle w:val="VerbatimChar"/>
        </w:rPr>
        <w:t xml:space="preserve">{fc_flds}</w:t>
      </w:r>
      <w:r>
        <w:t xml:space="preserve">,</w:t>
      </w:r>
      <w:r>
        <w:t xml:space="preserve"> </w:t>
      </w:r>
      <w:r>
        <w:rPr>
          <w:rStyle w:val="VerbatimChar"/>
        </w:rPr>
        <w:t xml:space="preserve">...</w:t>
      </w:r>
    </w:p>
    <w:bookmarkEnd w:id="54"/>
    <w:bookmarkStart w:id="56" w:name="models-based-on-rasters"/>
    <w:p>
      <w:pPr>
        <w:pStyle w:val="Heading3"/>
      </w:pPr>
      <w:r>
        <w:t xml:space="preserve">A.1.4 Models Based on Rasters</w:t>
      </w:r>
    </w:p>
    <w:p>
      <w:pPr>
        <w:pStyle w:val="FirstParagraph"/>
      </w:pPr>
      <w:r>
        <w:t xml:space="preserve">All rasters are projected to web Mercator (</w:t>
      </w:r>
      <w:r>
        <w:rPr>
          <w:rStyle w:val="VerbatimChar"/>
        </w:rPr>
        <w:t xml:space="preserve">EPSG:3857</w:t>
      </w:r>
      <w:r>
        <w:t xml:space="preserve">) coordinate reference system for</w:t>
      </w:r>
      <w:r>
        <w:t xml:space="preserve"> </w:t>
      </w:r>
      <w:hyperlink r:id="rId55">
        <w:r>
          <w:rPr>
            <w:rStyle w:val="VerbatimChar"/>
          </w:rPr>
          <w:t xml:space="preserve">leaflet</w:t>
        </w:r>
        <w:r>
          <w:rPr>
            <w:rStyle w:val="Hyperlink"/>
          </w:rPr>
          <w:t xml:space="preserve"> </w:t>
        </w:r>
        <w:r>
          <w:rPr>
            <w:rStyle w:val="Hyperlink"/>
          </w:rPr>
          <w:t xml:space="preserve">R package visualization of rasters</w:t>
        </w:r>
      </w:hyperlink>
      <w:r>
        <w:t xml:space="preserve"> </w:t>
      </w:r>
      <w:r>
        <w:t xml:space="preserve">with</w:t>
      </w:r>
      <w:r>
        <w:t xml:space="preserve"> </w:t>
      </w:r>
      <w:r>
        <w:t xml:space="preserve">“</w:t>
      </w:r>
      <w:r>
        <w:t xml:space="preserve">slippy</w:t>
      </w:r>
      <w:r>
        <w:t xml:space="preserve">”</w:t>
      </w:r>
      <w:r>
        <w:t xml:space="preserve"> </w:t>
      </w:r>
      <w:r>
        <w:t xml:space="preserve">basemaps (e.g. </w:t>
      </w:r>
      <w:r>
        <w:t xml:space="preserve">“</w:t>
      </w:r>
      <w:r>
        <w:t xml:space="preserve">Esri.OceanBasemap</w:t>
      </w:r>
      <w:r>
        <w:t xml:space="preserve">”</w:t>
      </w:r>
      <w:r>
        <w:t xml:space="preserve"> </w:t>
      </w:r>
      <w:r>
        <w:t xml:space="preserve">at</w:t>
      </w:r>
      <w:r>
        <w:t xml:space="preserve"> </w:t>
      </w:r>
      <w:hyperlink r:id="rId53">
        <w:r>
          <w:rPr>
            <w:rStyle w:val="Hyperlink"/>
          </w:rPr>
          <w:t xml:space="preserve">Leaflet Providers</w:t>
        </w:r>
      </w:hyperlink>
      <w:r>
        <w:t xml:space="preserve">). Since the variable is usually continuous, new values may be interpolated to the web Mercator raster with</w:t>
      </w:r>
      <w:r>
        <w:t xml:space="preserve"> </w:t>
      </w:r>
      <w:r>
        <w:rPr>
          <w:rStyle w:val="VerbatimChar"/>
        </w:rPr>
        <w:t xml:space="preserve">method = "bilinear"</w:t>
      </w:r>
      <w:r>
        <w:t xml:space="preserve"> </w:t>
      </w:r>
      <w:r>
        <w:t xml:space="preserve">option (versus</w:t>
      </w:r>
      <w:r>
        <w:t xml:space="preserve"> </w:t>
      </w:r>
      <w:r>
        <w:rPr>
          <w:rStyle w:val="VerbatimChar"/>
        </w:rPr>
        <w:t xml:space="preserve">method = "nearest"</w:t>
      </w:r>
      <w:r>
        <w:t xml:space="preserve">). Because of this, the value is directly stored in the</w:t>
      </w:r>
      <w:r>
        <w:t xml:space="preserve"> </w:t>
      </w:r>
      <w:r>
        <w:rPr>
          <w:rStyle w:val="VerbatimChar"/>
        </w:rPr>
        <w:t xml:space="preserve">_cells_rast</w:t>
      </w:r>
      <w:r>
        <w:t xml:space="preserve"> </w:t>
      </w:r>
      <w:r>
        <w:t xml:space="preserve">table for all raster models (versus a lookup of OffHab cell_ids to the original raster’s pixel).</w:t>
      </w:r>
    </w:p>
    <w:p>
      <w:pPr>
        <w:numPr>
          <w:ilvl w:val="0"/>
          <w:numId w:val="1005"/>
        </w:numPr>
      </w:pPr>
      <w:r>
        <w:rPr>
          <w:rStyle w:val="VerbatimChar"/>
        </w:rPr>
        <w:t xml:space="preserve">datasets</w:t>
      </w:r>
      <w:r>
        <w:t xml:space="preserve"> </w:t>
      </w:r>
      <w:r>
        <w:t xml:space="preserve">&lt;</w:t>
      </w:r>
      <w:r>
        <w:rPr>
          <w:rStyle w:val="VerbatimChar"/>
        </w:rPr>
        <w:t xml:space="preserve">ds_key</w:t>
      </w:r>
      <w:r>
        <w:t xml:space="preserve">&gt;, …</w:t>
      </w:r>
    </w:p>
    <w:p>
      <w:pPr>
        <w:numPr>
          <w:ilvl w:val="0"/>
          <w:numId w:val="1005"/>
        </w:numPr>
      </w:pPr>
      <w:r>
        <w:rPr>
          <w:rStyle w:val="VerbatimChar"/>
        </w:rPr>
        <w:t xml:space="preserve">ds_cells_rast</w:t>
      </w:r>
      <w:r>
        <w:t xml:space="preserve"> </w:t>
      </w:r>
      <w:r>
        <w:t xml:space="preserve">(cells to dataset pixel values)</w:t>
      </w:r>
      <w:r>
        <w:br/>
      </w:r>
      <w:r>
        <w:t xml:space="preserve">&lt;</w:t>
      </w:r>
      <w:r>
        <w:rPr>
          <w:rStyle w:val="VerbatimChar"/>
        </w:rPr>
        <w:t xml:space="preserve">ds_key</w:t>
      </w:r>
      <w:r>
        <w:t xml:space="preserve">,</w:t>
      </w:r>
      <w:r>
        <w:t xml:space="preserve"> </w:t>
      </w:r>
      <w:r>
        <w:rPr>
          <w:rStyle w:val="VerbatimChar"/>
        </w:rPr>
        <w:t xml:space="preserve">mdl_id</w:t>
      </w:r>
      <w:r>
        <w:t xml:space="preserve">,</w:t>
      </w:r>
      <w:r>
        <w:t xml:space="preserve"> </w:t>
      </w:r>
      <w:r>
        <w:rPr>
          <w:rStyle w:val="VerbatimChar"/>
        </w:rPr>
        <w:t xml:space="preserve">cell_id</w:t>
      </w:r>
      <w:r>
        <w:t xml:space="preserve">&gt;,</w:t>
      </w:r>
      <w:r>
        <w:t xml:space="preserve"> </w:t>
      </w:r>
      <w:r>
        <w:rPr>
          <w:rStyle w:val="VerbatimChar"/>
        </w:rPr>
        <w:t xml:space="preserve">val</w:t>
      </w:r>
    </w:p>
    <w:p>
      <w:pPr>
        <w:numPr>
          <w:ilvl w:val="0"/>
          <w:numId w:val="1005"/>
        </w:numPr>
      </w:pPr>
      <w:r>
        <w:rPr>
          <w:rStyle w:val="VerbatimChar"/>
        </w:rPr>
        <w:t xml:space="preserve">mdls_{ds_key}</w:t>
      </w:r>
      <w:r>
        <w:t xml:space="preserve"> </w:t>
      </w:r>
      <w:r>
        <w:t xml:space="preserve">(dataset model attributes)</w:t>
      </w:r>
      <w:r>
        <w:br/>
      </w:r>
      <w:r>
        <w:t xml:space="preserve">&lt;</w:t>
      </w:r>
      <w:r>
        <w:rPr>
          <w:rStyle w:val="VerbatimChar"/>
        </w:rPr>
        <w:t xml:space="preserve">ds_key</w:t>
      </w:r>
      <w:r>
        <w:t xml:space="preserve">,</w:t>
      </w:r>
      <w:r>
        <w:t xml:space="preserve"> </w:t>
      </w:r>
      <w:r>
        <w:rPr>
          <w:rStyle w:val="VerbatimChar"/>
        </w:rPr>
        <w:t xml:space="preserve">mdl_id</w:t>
      </w:r>
      <w:r>
        <w:t xml:space="preserve">&gt;,</w:t>
      </w:r>
      <w:r>
        <w:t xml:space="preserve"> </w:t>
      </w:r>
      <w:r>
        <w:rPr>
          <w:rStyle w:val="VerbatimChar"/>
        </w:rPr>
        <w:t xml:space="preserve">aphia_id</w:t>
      </w:r>
      <w:r>
        <w:t xml:space="preserve">,</w:t>
      </w:r>
      <w:r>
        <w:t xml:space="preserve"> </w:t>
      </w:r>
      <w:r>
        <w:rPr>
          <w:rStyle w:val="VerbatimChar"/>
        </w:rPr>
        <w:t xml:space="preserve">val_type</w:t>
      </w:r>
      <w:r>
        <w:t xml:space="preserve">,</w:t>
      </w:r>
      <w:r>
        <w:t xml:space="preserve"> </w:t>
      </w:r>
      <w:r>
        <w:rPr>
          <w:rStyle w:val="VerbatimChar"/>
        </w:rPr>
        <w:t xml:space="preserve">...</w:t>
      </w:r>
    </w:p>
    <w:bookmarkEnd w:id="56"/>
    <w:bookmarkStart w:id="57" w:name="future-development"/>
    <w:p>
      <w:pPr>
        <w:pStyle w:val="Heading3"/>
      </w:pPr>
      <w:r>
        <w:t xml:space="preserve">A.1.5 Future Development</w:t>
      </w:r>
    </w:p>
    <w:p>
      <w:pPr>
        <w:numPr>
          <w:ilvl w:val="0"/>
          <w:numId w:val="1006"/>
        </w:numPr>
        <w:pStyle w:val="Compact"/>
      </w:pPr>
      <w:r>
        <w:t xml:space="preserve">Add columns to handle relationships between models, such as uncertainty (e.g. </w:t>
      </w:r>
      <w:r>
        <w:rPr>
          <w:rStyle w:val="VerbatimChar"/>
        </w:rPr>
        <w:t xml:space="preserve">sd</w:t>
      </w:r>
      <w:r>
        <w:t xml:space="preserve">/</w:t>
      </w:r>
      <w:r>
        <w:rPr>
          <w:rStyle w:val="VerbatimChar"/>
        </w:rPr>
        <w:t xml:space="preserve">cv</w:t>
      </w:r>
      <w:r>
        <w:t xml:space="preserve">/</w:t>
      </w:r>
      <w:r>
        <w:t xml:space="preserve"> </w:t>
      </w:r>
      <w:r>
        <w:rPr>
          <w:rStyle w:val="VerbatimChar"/>
        </w:rPr>
        <w:t xml:space="preserve">ci95pct</w:t>
      </w:r>
      <w:r>
        <w:t xml:space="preserve"> </w:t>
      </w:r>
      <w:r>
        <w:t xml:space="preserve">/</w:t>
      </w:r>
      <w:r>
        <w:t xml:space="preserve"> </w:t>
      </w:r>
      <w:r>
        <w:rPr>
          <w:rStyle w:val="VerbatimChar"/>
        </w:rPr>
        <w:t xml:space="preserve">ci5pct</w:t>
      </w:r>
      <w:r>
        <w:t xml:space="preserve">; not using yet) associated with which density:</w:t>
      </w:r>
    </w:p>
    <w:p>
      <w:pPr>
        <w:numPr>
          <w:ilvl w:val="1"/>
          <w:numId w:val="1007"/>
        </w:numPr>
        <w:pStyle w:val="Compact"/>
      </w:pPr>
      <w:r>
        <w:rPr>
          <w:rStyle w:val="VerbatimChar"/>
        </w:rPr>
        <w:t xml:space="preserve">{mdl_key}_mdls.</w:t>
      </w:r>
      <w:r>
        <w:t xml:space="preserve">:</w:t>
      </w:r>
      <w:r>
        <w:t xml:space="preserve"> </w:t>
      </w:r>
      <w:r>
        <w:rPr>
          <w:rStyle w:val="VerbatimChar"/>
        </w:rPr>
        <w:t xml:space="preserve">mdl_related</w:t>
      </w:r>
      <w:r>
        <w:t xml:space="preserve"> </w:t>
      </w:r>
      <w:r>
        <w:t xml:space="preserve">|</w:t>
      </w:r>
      <w:r>
        <w:t xml:space="preserve"> </w:t>
      </w:r>
      <w:r>
        <w:rPr>
          <w:rStyle w:val="VerbatimChar"/>
        </w:rPr>
        <w:t xml:space="preserve">mdl_relationship</w:t>
      </w:r>
    </w:p>
    <w:p>
      <w:pPr>
        <w:numPr>
          <w:ilvl w:val="0"/>
          <w:numId w:val="1006"/>
        </w:numPr>
        <w:pStyle w:val="Compact"/>
      </w:pPr>
      <w:r>
        <w:t xml:space="preserve">Add value transformation column (</w:t>
      </w:r>
      <w:r>
        <w:rPr>
          <w:rStyle w:val="VerbatimChar"/>
        </w:rPr>
        <w:t xml:space="preserve">val_transform</w:t>
      </w:r>
      <w:r>
        <w:t xml:space="preserve">) to</w:t>
      </w:r>
      <w:r>
        <w:t xml:space="preserve"> </w:t>
      </w:r>
      <w:r>
        <w:rPr>
          <w:rStyle w:val="VerbatimChar"/>
        </w:rPr>
        <w:t xml:space="preserve">{mdl_key}_mdls</w:t>
      </w:r>
      <w:r>
        <w:t xml:space="preserve"> </w:t>
      </w:r>
      <w:r>
        <w:t xml:space="preserve">to standardize values from original to</w:t>
      </w:r>
      <w:r>
        <w:t xml:space="preserve"> </w:t>
      </w:r>
      <w:r>
        <w:rPr>
          <w:rStyle w:val="VerbatimChar"/>
        </w:rPr>
        <w:t xml:space="preserve">val_type</w:t>
      </w:r>
      <w:r>
        <w:t xml:space="preserve"> </w:t>
      </w:r>
      <w:r>
        <w:t xml:space="preserve">(not using yet since all relative so far):</w:t>
      </w:r>
    </w:p>
    <w:p>
      <w:pPr>
        <w:numPr>
          <w:ilvl w:val="1"/>
          <w:numId w:val="1008"/>
        </w:numPr>
        <w:pStyle w:val="Compact"/>
      </w:pPr>
      <w:r>
        <w:rPr>
          <w:rStyle w:val="VerbatimChar"/>
        </w:rPr>
        <w:t xml:space="preserve">oa_mdls.val_transform</w:t>
      </w:r>
      <w:r>
        <w:t xml:space="preserve">:</w:t>
      </w:r>
      <w:r>
        <w:t xml:space="preserve"> </w:t>
      </w:r>
      <m:oMath>
        <m:r>
          <m:t>v</m:t>
        </m:r>
        <m:r>
          <m:t>a</m:t>
        </m:r>
        <m:sSup>
          <m:e>
            <m:r>
              <m:t>l</m:t>
            </m:r>
          </m:e>
          <m:sup>
            <m:r>
              <m:t>3</m:t>
            </m:r>
          </m:sup>
        </m:sSup>
      </m:oMath>
    </w:p>
    <w:p>
      <w:pPr>
        <w:numPr>
          <w:ilvl w:val="1"/>
          <w:numId w:val="1008"/>
        </w:numPr>
        <w:pStyle w:val="Compact"/>
      </w:pPr>
      <w:r>
        <w:rPr>
          <w:rStyle w:val="VerbatimChar"/>
        </w:rPr>
        <w:t xml:space="preserve">du_mdls.val_transform</w:t>
      </w:r>
      <w:r>
        <w:t xml:space="preserve"> </w:t>
      </w:r>
      <m:oMath>
        <m:r>
          <m:t>v</m:t>
        </m:r>
        <m:r>
          <m:t>a</m:t>
        </m:r>
        <m:r>
          <m:t>l</m:t>
        </m:r>
        <m:r>
          <m:rPr>
            <m:sty m:val="p"/>
          </m:rPr>
          <m:t>/</m:t>
        </m:r>
        <m:r>
          <m:t>100</m:t>
        </m:r>
      </m:oMath>
    </w:p>
    <w:bookmarkEnd w:id="57"/>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hyperlink" Id="rId53" Target="https://leaflet-extras.github.io/leaflet-providers/preview" TargetMode="External" /><Relationship Type="http://schemas.openxmlformats.org/officeDocument/2006/relationships/hyperlink" Id="rId55" Target="https://rstudio.github.io/leaflet/raster.html" TargetMode="External" /><Relationship Type="http://schemas.openxmlformats.org/officeDocument/2006/relationships/hyperlink" Id="rId52" Target="https://rstudio.github.io/leaflet/shapes.html" TargetMode="External" /></Relationships>
</file>

<file path=word/_rels/footnotes.xml.rels><?xml version="1.0" encoding="UTF-8"?><Relationships xmlns="http://schemas.openxmlformats.org/package/2006/relationships"><Relationship Type="http://schemas.openxmlformats.org/officeDocument/2006/relationships/hyperlink" Id="rId53" Target="https://leaflet-extras.github.io/leaflet-providers/preview" TargetMode="External" /><Relationship Type="http://schemas.openxmlformats.org/officeDocument/2006/relationships/hyperlink" Id="rId55" Target="https://rstudio.github.io/leaflet/raster.html" TargetMode="External" /><Relationship Type="http://schemas.openxmlformats.org/officeDocument/2006/relationships/hyperlink" Id="rId52" Target="https://rstudio.github.io/leaflet/shap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offhab-report</dc:title>
  <dc:creator>Jane Doe</dc:creator>
  <cp:keywords/>
  <dcterms:created xsi:type="dcterms:W3CDTF">2023-01-27T23:03:50Z</dcterms:created>
  <dcterms:modified xsi:type="dcterms:W3CDTF">2023-01-27T23:03:50Z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12/2/22</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y fmtid="{D5CDD505-2E9C-101B-9397-08002B2CF9AE}" pid="16" name="website">
    <vt:lpwstr/>
  </property>
</Properties>
</file>