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Offshore</w:t>
      </w:r>
      <w:r>
        <w:t xml:space="preserve"> </w:t>
      </w:r>
      <w:r>
        <w:t xml:space="preserve">Habitat</w:t>
      </w:r>
      <w:r>
        <w:t xml:space="preserve"> </w:t>
      </w:r>
      <w:r>
        <w:t xml:space="preserve">Assessment</w:t>
      </w:r>
      <w:r>
        <w:t xml:space="preserve"> </w:t>
      </w:r>
      <w:r>
        <w:t xml:space="preserve">for</w:t>
      </w:r>
      <w:r>
        <w:t xml:space="preserve"> </w:t>
      </w:r>
      <w:r>
        <w:t xml:space="preserve">US</w:t>
      </w:r>
      <w:r>
        <w:t xml:space="preserve"> </w:t>
      </w:r>
      <w:r>
        <w:t xml:space="preserve">Wind</w:t>
      </w:r>
      <w:r>
        <w:t xml:space="preserve"> </w:t>
      </w:r>
      <w:r>
        <w:t xml:space="preserve">Energy</w:t>
      </w:r>
    </w:p>
    <w:p>
      <w:pPr>
        <w:pStyle w:val="Author"/>
      </w:pPr>
      <w:r>
        <w:t xml:space="preserve">Benjamin</w:t>
      </w:r>
      <w:r>
        <w:t xml:space="preserve"> </w:t>
      </w:r>
      <w:r>
        <w:t xml:space="preserve">D.</w:t>
      </w:r>
      <w:r>
        <w:t xml:space="preserve"> </w:t>
      </w:r>
      <w:r>
        <w:t xml:space="preserve">Best</w:t>
      </w:r>
    </w:p>
    <w:p>
      <w:pPr>
        <w:pStyle w:val="Date"/>
      </w:pPr>
      <w:r>
        <w:t xml:space="preserve">2023-05-04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1" w:name="preface"/>
    <w:p>
      <w:pPr>
        <w:pStyle w:val="Heading1"/>
      </w:pPr>
      <w:r>
        <w:t xml:space="preserve">Preface</w:t>
      </w:r>
    </w:p>
    <w:p>
      <w:pPr>
        <w:pStyle w:val="FirstParagraph"/>
      </w:pPr>
      <w:r>
        <w:t xml:space="preserve">This report was funded by the</w:t>
      </w:r>
      <w:r>
        <w:t xml:space="preserve"> </w:t>
      </w:r>
      <w:hyperlink r:id="rId20">
        <w:r>
          <w:rPr>
            <w:rStyle w:val="Hyperlink"/>
          </w:rPr>
          <w:t xml:space="preserve">Resources Legacy Fund</w:t>
        </w:r>
      </w:hyperlink>
      <w:r>
        <w:t xml:space="preserve">.</w:t>
      </w:r>
    </w:p>
    <w:bookmarkEnd w:id="21"/>
    <w:bookmarkStart w:id="22" w:name="abstract"/>
    <w:p>
      <w:pPr>
        <w:pStyle w:val="Heading1"/>
      </w:pPr>
      <w:r>
        <w:t xml:space="preserve">1. Abstract</w:t>
      </w:r>
    </w:p>
    <w:p>
      <w:pPr>
        <w:pStyle w:val="FirstParagraph"/>
      </w:pPr>
      <w:r>
        <w:t xml:space="preserve">Development of offshore wind energy will be essential for providing renewable energy to mitigate climate change impacts, yet should be responsibly sited to minimize impacts on sensitive species and habitats. The Bureau of Ocean Energy Management (BOEM) manages the federal offshore leasing of wind energy for the United States (U.S.) and has defined regions, zones and individual lease blocks, which were used to evaluate differences in species and habitats for the federal waters of the U.S. lower 48 states (excluding Alaska and Hawaii). Species distributions were collated from a variety of sources and rescaled (0 to 100) according to a preferred hierarchy of response terms: 1) density surface models (response: # individuals / km</w:t>
      </w:r>
      <w:r>
        <w:rPr>
          <w:vertAlign w:val="superscript"/>
        </w:rPr>
        <w:t xml:space="preserve">2</w:t>
      </w:r>
      <w:r>
        <w:t xml:space="preserve">; 151 species of marine mammals, seabirds and sea turtles across 4 datasets); 2) habitat probability models (response: 0 to 1; 9,639 species from AquaMaps); 3) and expert range maps (response: 0 or 1; 342 species from IUCN Red List). All data layers were downscaled to a common grid of roughly 15 arc-seconds (each pixel ranging in area 0.16 to 0.31 km</w:t>
      </w:r>
      <w:r>
        <w:rPr>
          <w:vertAlign w:val="superscript"/>
        </w:rPr>
        <w:t xml:space="preserve">2</w:t>
      </w:r>
      <w:r>
        <w:t xml:space="preserve">) aligned with the GEBCO high resolution global bathymetry in order to calculate differences between individual lease blocks (ranging in area 0.67 to 23.09 km</w:t>
      </w:r>
      <w:r>
        <w:rPr>
          <w:vertAlign w:val="superscript"/>
        </w:rPr>
        <w:t xml:space="preserve">2</w:t>
      </w:r>
      <w:r>
        <w:t xml:space="preserve">). Species richness and species abundance were calculated per pixel along with an aggregate extinction risk for those species having an IUCN Red List category assigned. An overall conservation score also incorporated primary productivity, hydrothermal vents and seamounts with equal weighting for each layer.</w:t>
      </w:r>
    </w:p>
    <w:p>
      <w:pPr>
        <w:pStyle w:val="BodyText"/>
      </w:pPr>
      <w:r>
        <w:t xml:space="preserve">[</w:t>
      </w:r>
      <w:r>
        <w:t xml:space="preserve"> </w:t>
      </w:r>
      <w:r>
        <w:t xml:space="preserve">TODO: next</w:t>
      </w:r>
      <w:r>
        <w:t xml:space="preserve"> </w:t>
      </w:r>
      <w:r>
        <w:t xml:space="preserve">- + Tables</w:t>
      </w:r>
      <w:r>
        <w:t xml:space="preserve"> </w:t>
      </w:r>
      <w:r>
        <w:t xml:space="preserve">- Spatial Scoring: Zone Average</w:t>
      </w:r>
      <w:r>
        <w:t xml:space="preserve"> </w:t>
      </w:r>
      <w:r>
        <w:t xml:space="preserve">- Zones with Blocks</w:t>
      </w:r>
      <w:r>
        <w:t xml:space="preserve"> </w:t>
      </w:r>
      <w:r>
        <w:t xml:space="preserve">- move to Appendix</w:t>
      </w:r>
    </w:p>
    <w:p>
      <w:pPr>
        <w:numPr>
          <w:ilvl w:val="0"/>
          <w:numId w:val="1001"/>
        </w:numPr>
        <w:pStyle w:val="Compact"/>
      </w:pPr>
      <w:r>
        <w:t xml:space="preserve">future</w:t>
      </w:r>
    </w:p>
    <w:p>
      <w:pPr>
        <w:numPr>
          <w:ilvl w:val="1"/>
          <w:numId w:val="1002"/>
        </w:numPr>
        <w:pStyle w:val="Compact"/>
      </w:pPr>
      <w:r>
        <w:t xml:space="preserve">app to change weights</w:t>
      </w:r>
    </w:p>
    <w:p>
      <w:pPr>
        <w:numPr>
          <w:ilvl w:val="1"/>
          <w:numId w:val="1002"/>
        </w:numPr>
        <w:pStyle w:val="Compact"/>
      </w:pPr>
      <w:r>
        <w:t xml:space="preserve">app to extract species with extinction risk per AoI / pixel / block / zone</w:t>
      </w:r>
      <w:r>
        <w:t xml:space="preserve"> </w:t>
      </w:r>
      <w:r>
        <w:t xml:space="preserve">]</w:t>
      </w:r>
    </w:p>
    <w:p>
      <w:pPr>
        <w:pStyle w:val="FirstParagraph"/>
      </w:pPr>
      <w:r>
        <w:t xml:space="preserve">Key habitats of hydrothermal vents and seamounts were also</w:t>
      </w:r>
    </w:p>
    <w:p>
      <w:pPr>
        <w:pStyle w:val="BodyText"/>
      </w:pPr>
      <w:r>
        <w:t xml:space="preserve">In contrast, many more thou</w:t>
      </w:r>
    </w:p>
    <w:p>
      <w:pPr>
        <w:pStyle w:val="BodyText"/>
      </w:pPr>
      <w:r>
        <w:t xml:space="preserve">Species distributions were collated into a common response across</w:t>
      </w:r>
    </w:p>
    <w:p>
      <w:pPr>
        <w:pStyle w:val="BodyText"/>
      </w:pPr>
      <w:r>
        <w:t xml:space="preserve">Species distribution models were collated across the</w:t>
      </w:r>
    </w:p>
    <w:bookmarkEnd w:id="22"/>
    <w:bookmarkStart w:id="24" w:name="introduction"/>
    <w:p>
      <w:pPr>
        <w:pStyle w:val="Heading1"/>
      </w:pPr>
      <w:r>
        <w:t xml:space="preserve">2. Introduction</w:t>
      </w:r>
    </w:p>
    <w:p>
      <w:pPr>
        <w:pStyle w:val="FirstParagraph"/>
      </w:pPr>
      <w:r>
        <w:t xml:space="preserve">Development of offshore wind energy will be essential for providing renewable energy to mitigate climate change impacts, yet should be responsibly sited to minimize impacts on sensitive species and habitats. Acoustic impacts from construction and operation may negatively impact some species</w:t>
      </w:r>
      <w:r>
        <w:t xml:space="preserve"> </w:t>
      </w:r>
      <w:r>
        <w:t xml:space="preserve">(Mooney, Andersson, and Stanley 2022)</w:t>
      </w:r>
      <w:r>
        <w:t xml:space="preserve">. Hard substrate provided by the platforms may actually benefit other species</w:t>
      </w:r>
      <w:r>
        <w:t xml:space="preserve"> </w:t>
      </w:r>
      <w:r>
        <w:t xml:space="preserve">(Wilson and Elliott 2009)</w:t>
      </w:r>
      <w:r>
        <w:t xml:space="preserve">. Although only 42 megawatts (MW) of offshore wind energy capacity is operational (in Rhode Island and New York) as of May 31 2022, the pipeline of potential generating capacity is estimated to be 40 gigawatts (GW) – enough to power 13 million homes</w:t>
      </w:r>
      <w:r>
        <w:t xml:space="preserve"> </w:t>
      </w:r>
      <w:r>
        <w:t xml:space="preserve">(Musial et al. 2022)</w:t>
      </w:r>
      <w:r>
        <w:t xml:space="preserve">.</w:t>
      </w:r>
    </w:p>
    <w:p>
      <w:pPr>
        <w:pStyle w:val="BodyText"/>
      </w:pPr>
      <w:r>
        <w:t xml:space="preserve">Wind energy areas are under active development by the Bureau of Ocean Energy Management (BOEM) throughout the United States. This study will assess habitats for sensitivity throughout strategic parts of the US.</w:t>
      </w:r>
    </w:p>
    <w:p>
      <w:pPr>
        <w:pStyle w:val="BodyText"/>
      </w:pPr>
      <w:r>
        <w:t xml:space="preserve">A couple fundamental questions driving this analysis are:</w:t>
      </w:r>
    </w:p>
    <w:p>
      <w:pPr>
        <w:numPr>
          <w:ilvl w:val="0"/>
          <w:numId w:val="1003"/>
        </w:numPr>
      </w:pPr>
      <w:r>
        <w:rPr>
          <w:iCs/>
          <w:i/>
        </w:rPr>
        <w:t xml:space="preserve">How different are existing lease areas from the rest of the region?</w:t>
      </w:r>
      <w:r>
        <w:t xml:space="preserve"> </w:t>
      </w:r>
      <w:r>
        <w:t xml:space="preserve">(</w:t>
      </w:r>
      <w:r>
        <w:rPr>
          <w:bCs/>
          <w:b/>
          <w:iCs/>
          <w:i/>
        </w:rPr>
        <w:t xml:space="preserve">intra-region</w:t>
      </w:r>
      <w:r>
        <w:t xml:space="preserve">)</w:t>
      </w:r>
      <w:r>
        <w:br/>
      </w:r>
      <w:r>
        <w:t xml:space="preserve">Areas not already slated for the offshore wind leasing impact species and habitats less, so could be candidates for alternative future planning. Areas with designated military use and outside BOEM’s authority (e.g., National Marine Sanctuaries) need to be further excluded from consideration.</w:t>
      </w:r>
    </w:p>
    <w:p>
      <w:pPr>
        <w:numPr>
          <w:ilvl w:val="0"/>
          <w:numId w:val="1003"/>
        </w:numPr>
      </w:pPr>
      <w:r>
        <w:rPr>
          <w:iCs/>
          <w:i/>
        </w:rPr>
        <w:t xml:space="preserve">How different are existing lease areas from each other within a given region?</w:t>
      </w:r>
      <w:r>
        <w:t xml:space="preserve"> </w:t>
      </w:r>
      <w:r>
        <w:t xml:space="preserve">(</w:t>
      </w:r>
      <w:r>
        <w:rPr>
          <w:bCs/>
          <w:b/>
          <w:iCs/>
          <w:i/>
        </w:rPr>
        <w:t xml:space="preserve">inter-lease</w:t>
      </w:r>
      <w:r>
        <w:t xml:space="preserve">)</w:t>
      </w:r>
      <w:r>
        <w:br/>
      </w:r>
      <w:r>
        <w:t xml:space="preserve">Within the leasing process the most oversight can be exercised within existing lease areas, especially ones in the earlier stages of Proposed Sale Notices and Call Areas. Identifying less impacted lease areas may lend greater stakeholder support for development.</w:t>
      </w:r>
    </w:p>
    <w:p>
      <w:pPr>
        <w:pStyle w:val="FirstParagraph"/>
      </w:pPr>
      <w:r>
        <w:t xml:space="preserve">…</w:t>
      </w:r>
    </w:p>
    <w:p>
      <w:pPr>
        <w:pStyle w:val="BodyText"/>
      </w:pPr>
      <w:r>
        <w:t xml:space="preserve">While density surfaces are most preferable, especially for determining number of individuals impacted by human activity (e.g., for Potential Biological Removal as mandated by the Marine Mammal Protection Act), the distributions of relatively few taxa have been described by these models for the .</w:t>
      </w:r>
    </w:p>
    <w:p>
      <w:pPr>
        <w:numPr>
          <w:ilvl w:val="0"/>
          <w:numId w:val="1004"/>
        </w:numPr>
        <w:pStyle w:val="Compact"/>
      </w:pPr>
      <w:r>
        <w:t xml:space="preserve">Essential Fish Habitat (EFH) is too coarse, not preferred by</w:t>
      </w:r>
      <w:r>
        <w:t xml:space="preserve"> </w:t>
      </w:r>
      <w:r>
        <w:t xml:space="preserve">(Friedland et al. 2021)</w:t>
      </w:r>
      <w:r>
        <w:t xml:space="preserve"> </w:t>
      </w:r>
      <w:r>
        <w:t xml:space="preserve">(see</w:t>
      </w:r>
      <w:r>
        <w:t xml:space="preserve"> </w:t>
      </w:r>
      <w:hyperlink r:id="rId23">
        <w:r>
          <w:rPr>
            <w:rStyle w:val="Hyperlink"/>
          </w:rPr>
          <w:t xml:space="preserve">methods notes | offhab - Google Docs</w:t>
        </w:r>
      </w:hyperlink>
      <w:r>
        <w:t xml:space="preserve">)</w:t>
      </w:r>
    </w:p>
    <w:bookmarkEnd w:id="24"/>
    <w:bookmarkStart w:id="43" w:name="methods"/>
    <w:p>
      <w:pPr>
        <w:pStyle w:val="Heading1"/>
      </w:pPr>
      <w:r>
        <w:t xml:space="preserve">3. Methods</w:t>
      </w:r>
    </w:p>
    <w:bookmarkStart w:id="33" w:name="spatial-hierarchy-regions-zones-blocks"/>
    <w:p>
      <w:pPr>
        <w:pStyle w:val="Heading2"/>
      </w:pPr>
      <w:r>
        <w:t xml:space="preserve">3.1 Spatial Hierarchy: Regions &gt; Zones &gt; Blocks</w:t>
      </w:r>
    </w:p>
    <w:p>
      <w:pPr>
        <w:pStyle w:val="FirstParagraph"/>
      </w:pPr>
      <w:r>
        <w:t xml:space="preserve">Determination of regions for which to assess offshore habitat was based on BOEM activity and representativeness of habitats across the continental United States (</w:t>
      </w:r>
      <w:hyperlink w:anchor="fig-map-zones">
        <w:r>
          <w:rPr>
            <w:rStyle w:val="Hyperlink"/>
          </w:rPr>
          <w:t xml:space="preserve">Figure 3.1</w:t>
        </w:r>
      </w:hyperlink>
      <w:r>
        <w:t xml:space="preserve">). The first (and presently only commercially in production) US wind farm at Block Island, NJ is in the North Atlantic where $4.4 billion was paid in offshore wind bids earlier this year (</w:t>
      </w:r>
      <w:hyperlink r:id="rId25">
        <w:r>
          <w:rPr>
            <w:rStyle w:val="Hyperlink"/>
          </w:rPr>
          <w:t xml:space="preserve">DOE news</w:t>
        </w:r>
      </w:hyperlink>
      <w:r>
        <w:t xml:space="preserve">). The Atlantic seaboard slopes gradually making it appropriate for fixed platforms, whereas the Pacific coast drops off quickly into deeper depths making floating platforms more suitable. These technological differences therefore affect the bottom habitats differently. Whereas fixed platforms involve pile driving and addition of additional hard surfaces for habitats, the floating platforms leave only the benthic footprint of moorings and submarine cables.</w:t>
      </w:r>
    </w:p>
    <w:bookmarkStart w:id="31" w:name="regions-and-zones"/>
    <w:p>
      <w:pPr>
        <w:pStyle w:val="Heading3"/>
      </w:pPr>
      <w:r>
        <w:t xml:space="preserve">3.1.1 Regions and Zones</w:t>
      </w:r>
    </w:p>
    <w:tbl>
      <w:tblPr>
        <w:tblStyle w:val="Table"/>
        <w:tblW w:type="pct" w:w="5000"/>
        <w:tblLook w:firstRow="0" w:lastRow="0" w:firstColumn="0" w:lastColumn="0" w:noHBand="0" w:noVBand="0" w:val="0000"/>
      </w:tblPr>
      <w:tblGrid>
        <w:gridCol w:w="7920"/>
      </w:tblGrid>
      <w:tr>
        <w:tc>
          <w:tcPr/>
          <w:bookmarkStart w:id="30" w:name="fig-map-zones"/>
          <w:p>
            <w:pPr>
              <w:pStyle w:val="Figure"/>
              <w:jc w:val="center"/>
            </w:pPr>
            <w:r>
              <w:drawing>
                <wp:inline>
                  <wp:extent cx="5334000" cy="4267200"/>
                  <wp:effectExtent b="0" l="0" r="0" t="0"/>
                  <wp:docPr descr="" title="" id="27" name="Picture"/>
                  <a:graphic>
                    <a:graphicData uri="http://schemas.openxmlformats.org/drawingml/2006/picture">
                      <pic:pic>
                        <pic:nvPicPr>
                          <pic:cNvPr descr="./methods_files/figure-docx/fig-map-zone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Regions (Atlantic, Gulf of Mexico, and Pacific) are subdivied into Zones corresponding to BOEM Planning Areas in federal waters clipped to the U.S. Exclusive Economic Zone (except Alaska and Hawaii). To prevent overcrowding of labels only abbreviations are shown for Central (CGM), Eastern (EGM) and Western (WGM) Gulf of Mexico.. Please also see the</w:t>
            </w:r>
            <w:r>
              <w:t xml:space="preserve"> </w:t>
            </w:r>
            <w:hyperlink r:id="rId29">
              <w:r>
                <w:rPr>
                  <w:rStyle w:val="Hyperlink"/>
                </w:rPr>
                <w:t xml:space="preserve">online interactive figure</w:t>
              </w:r>
            </w:hyperlink>
            <w:r>
              <w:t xml:space="preserve">.</w:t>
            </w:r>
          </w:p>
          <w:bookmarkEnd w:id="30"/>
        </w:tc>
      </w:tr>
    </w:tbl>
    <w:bookmarkEnd w:id="31"/>
    <w:bookmarkStart w:id="32" w:name="blocks"/>
    <w:p>
      <w:pPr>
        <w:pStyle w:val="Heading3"/>
      </w:pPr>
      <w:r>
        <w:t xml:space="preserve">3.1.2 Blocks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Zone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of Blocks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Block Area (km&lt;sup&gt;2&lt;/sup&gt;)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Atlantic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Mid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North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South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Gulf of Mexico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Central Gulf of 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Western Gulf of 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Pacific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Central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Northern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Southern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Washington/Oregon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4,684</w:t>
            </w:r>
          </w:p>
        </w:tc>
      </w:tr>
    </w:tbl>
    <w:bookmarkEnd w:id="32"/>
    <w:bookmarkEnd w:id="33"/>
    <w:bookmarkStart w:id="34" w:name="datasets"/>
    <w:p>
      <w:pPr>
        <w:pStyle w:val="Heading2"/>
      </w:pPr>
      <w:r>
        <w:t xml:space="preserve">3.2 Datasets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Regions</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Key</w:t>
            </w:r>
          </w:p>
        </w:tc>
        <w:tc>
          <w:tcPr>
            <w:tcBorders>
              <w:bottom w:val="single" w:sz="16" w:space="0" w:color="D3D3D3"/>
            </w:tcBorders>
          </w:tcPr>
          <w:p>
            <w:pPr>
              <w:spacing w:before="0" w:after="60"/>
              <w:keepNext/>
              <w:jc w:val="start"/>
            </w:pPr>
            <w:r>
              <w:rPr>
                <w:rFonts w:ascii="Calibri" w:hAnsi="Calibri"/>
                <w:sz w:val="20"/>
              </w:rPr>
              <w:t xml:space="default">Name</w:t>
            </w:r>
          </w:p>
        </w:tc>
        <w:tc>
          <w:tcPr>
            <w:tcBorders>
              <w:bottom w:val="single" w:sz="16" w:space="0" w:color="D3D3D3"/>
            </w:tcBorders>
          </w:tcPr>
          <w:p>
            <w:pPr>
              <w:spacing w:before="0" w:after="60"/>
              <w:keepNext/>
              <w:jc w:val="start"/>
            </w:pPr>
            <w:r>
              <w:rPr>
                <w:rFonts w:ascii="Calibri" w:hAnsi="Calibri"/>
                <w:sz w:val="20"/>
              </w:rPr>
              <w:t xml:space="default">Type</w:t>
            </w:r>
          </w:p>
        </w:tc>
        <w:tc>
          <w:tcPr>
            <w:tcBorders>
              <w:bottom w:val="single" w:sz="16" w:space="0" w:color="D3D3D3"/>
            </w:tcBorders>
          </w:tcPr>
          <w:p>
            <w:pPr>
              <w:spacing w:before="0" w:after="60"/>
              <w:keepNext/>
              <w:jc w:val="start"/>
            </w:pPr>
            <w:r>
              <w:rPr>
                <w:rFonts w:ascii="Calibri" w:hAnsi="Calibri"/>
                <w:sz w:val="20"/>
              </w:rPr>
              <w:t xml:space="default">Taxa</w:t>
            </w:r>
          </w:p>
        </w:tc>
        <w:tc>
          <w:tcPr>
            <w:tcBorders>
              <w:bottom w:val="single" w:sz="16" w:space="0" w:color="D3D3D3"/>
            </w:tcBorders>
          </w:tcPr>
          <w:p>
            <w:pPr>
              <w:spacing w:before="0" w:after="60"/>
              <w:keepNext/>
              <w:jc w:val="end"/>
            </w:pPr>
            <w:r>
              <w:rPr>
                <w:rFonts w:ascii="Calibri" w:hAnsi="Calibri"/>
                <w:sz w:val="20"/>
              </w:rPr>
              <w:t xml:space="default"># Taxa</w:t>
            </w:r>
          </w:p>
        </w:tc>
        <w:tc>
          <w:tcPr>
            <w:tcBorders>
              <w:bottom w:val="single" w:sz="16" w:space="0" w:color="D3D3D3"/>
            </w:tcBorders>
          </w:tcPr>
          <w:p>
            <w:pPr>
              <w:spacing w:before="0" w:after="60"/>
              <w:keepNext/>
              <w:jc w:val="end"/>
            </w:pPr>
            <w:r>
              <w:rPr>
                <w:rFonts w:ascii="Calibri" w:hAnsi="Calibri"/>
                <w:sz w:val="20"/>
              </w:rPr>
              <w:t xml:space="default">Year</w:t>
            </w:r>
          </w:p>
        </w:tc>
        <w:tc>
          <w:tcPr>
            <w:tcBorders>
              <w:bottom w:val="single" w:sz="16" w:space="0" w:color="D3D3D3"/>
            </w:tcBorders>
          </w:tcPr>
          <w:p>
            <w:pPr>
              <w:spacing w:before="0" w:after="60"/>
              <w:keepNext/>
              <w:jc w:val="center"/>
            </w:pPr>
            <w:r>
              <w:rPr>
                <w:rFonts w:ascii="Calibri" w:hAnsi="Calibri"/>
                <w:sz w:val="20"/>
              </w:rPr>
              <w:t xml:space="default">Pacific</w:t>
            </w:r>
          </w:p>
        </w:tc>
        <w:tc>
          <w:tcPr>
            <w:tcBorders>
              <w:bottom w:val="single" w:sz="16" w:space="0" w:color="D3D3D3"/>
            </w:tcBorders>
          </w:tcPr>
          <w:p>
            <w:pPr>
              <w:spacing w:before="0" w:after="60"/>
              <w:keepNext/>
              <w:jc w:val="center"/>
            </w:pPr>
            <w:r>
              <w:rPr>
                <w:rFonts w:ascii="Calibri" w:hAnsi="Calibri"/>
                <w:sz w:val="20"/>
              </w:rPr>
              <w:t xml:space="default">Atlantic</w:t>
            </w:r>
          </w:p>
        </w:tc>
        <w:tc>
          <w:tcPr>
            <w:tcBorders>
              <w:bottom w:val="single" w:sz="16" w:space="0" w:color="D3D3D3"/>
              <w:end w:val="single" w:space="0" w:color="D3D3D3"/>
            </w:tcBorders>
          </w:tcPr>
          <w:p>
            <w:pPr>
              <w:spacing w:before="0" w:after="60"/>
              <w:keepNext/>
              <w:jc w:val="center"/>
            </w:pPr>
            <w:r>
              <w:rPr>
                <w:rFonts w:ascii="Calibri" w:hAnsi="Calibri"/>
                <w:sz w:val="20"/>
              </w:rPr>
              <w:t xml:space="default">GoMex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AquaMaps Global Probabilities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probability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IUCN Global RedList Ranges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Duke Atlantic Marine Mammal Densities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Marine mammals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SWFSC Pacific Cetacean Densities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Marine mammals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NOAA GoMex Cetacean &amp; Sea Turtle Densities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Marine mammals, sea turtles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NCCOS Atlantic &amp; Pacific Seabird Densities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Seabirds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SOEST Pacific Seamount Occurrences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occurrence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InterRidge Pacific Hydrothermal Vent Occurrences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occurrence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OregonState Global Productivity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productivity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bl>
    <w:bookmarkEnd w:id="34"/>
    <w:bookmarkStart w:id="38" w:name="processing-steps"/>
    <w:p>
      <w:pPr>
        <w:pStyle w:val="Heading2"/>
      </w:pPr>
      <w:r>
        <w:t xml:space="preserve">3.3 Processing Steps</w:t>
      </w:r>
    </w:p>
    <w:p>
      <w:pPr>
        <w:numPr>
          <w:ilvl w:val="0"/>
          <w:numId w:val="1005"/>
        </w:numPr>
      </w:pPr>
      <w:r>
        <w:rPr>
          <w:bCs/>
          <w:b/>
        </w:rPr>
        <w:t xml:space="preserve">Download dataset</w:t>
      </w:r>
      <w:r>
        <w:br/>
      </w:r>
      <w:r>
        <w:t xml:space="preserve">As raster or vector.</w:t>
      </w:r>
    </w:p>
    <w:p>
      <w:pPr>
        <w:numPr>
          <w:ilvl w:val="0"/>
          <w:numId w:val="1005"/>
        </w:numPr>
      </w:pPr>
      <w:r>
        <w:rPr>
          <w:bCs/>
          <w:b/>
        </w:rPr>
        <w:t xml:space="preserve">Convert dataset layers to common raster format</w:t>
      </w:r>
      <w:r>
        <w:br/>
      </w:r>
      <w:r>
        <w:t xml:space="preserve">In order to calculate quickly across a wide range of spatial data based on different formats (vector or raster), spatial units of analysis and projections, a common study area and grid was generated from the</w:t>
      </w:r>
      <w:r>
        <w:t xml:space="preserve"> </w:t>
      </w:r>
      <w:r>
        <w:rPr>
          <w:bCs/>
          <w:b/>
        </w:rPr>
        <w:t xml:space="preserve">GEBCO</w:t>
      </w:r>
      <w:r>
        <w:t xml:space="preserve"> </w:t>
      </w:r>
      <w:r>
        <w:t xml:space="preserve">elevation map and projected to Web Mercator for readily displaying in</w:t>
      </w:r>
      <w:r>
        <w:t xml:space="preserve"> </w:t>
      </w:r>
      <w:r>
        <w:t xml:space="preserve">“</w:t>
      </w:r>
      <w:r>
        <w:t xml:space="preserve">slippy</w:t>
      </w:r>
      <w:r>
        <w:t xml:space="preserve">”</w:t>
      </w:r>
      <w:r>
        <w:t xml:space="preserve"> </w:t>
      </w:r>
      <w:r>
        <w:t xml:space="preserve">maps online. The area-based distortion of Web Mercator was compensated for by calculating the true area per cell as a separate multiplicative layer for use in calculations.</w:t>
      </w:r>
    </w:p>
    <w:p>
      <w:pPr>
        <w:numPr>
          <w:ilvl w:val="0"/>
          <w:numId w:val="1005"/>
        </w:numPr>
      </w:pPr>
      <w:r>
        <w:rPr>
          <w:bCs/>
          <w:b/>
        </w:rPr>
        <w:t xml:space="preserve">Average within dataset-species layers</w:t>
      </w:r>
      <w:r>
        <w:br/>
      </w:r>
      <w:r>
        <w:t xml:space="preserve">Some datasets include seasonally (e.g.,</w:t>
      </w:r>
      <w:r>
        <w:t xml:space="preserve"> </w:t>
      </w:r>
      <w:r>
        <w:rPr>
          <w:rStyle w:val="VerbatimChar"/>
        </w:rPr>
        <w:t xml:space="preserve">[du]</w:t>
      </w:r>
      <w:r>
        <w:t xml:space="preserve">) or regionally (e.g.,</w:t>
      </w:r>
      <w:r>
        <w:t xml:space="preserve"> </w:t>
      </w:r>
      <w:r>
        <w:rPr>
          <w:rStyle w:val="VerbatimChar"/>
        </w:rPr>
        <w:t xml:space="preserve">[nc]</w:t>
      </w:r>
      <w:r>
        <w:t xml:space="preserve">) distinct density surfaces. These get averaged (for seasonal) and mosaicked (for regional) together to produce a single average per dataset and species.</w:t>
      </w:r>
    </w:p>
    <w:p>
      <w:pPr>
        <w:numPr>
          <w:ilvl w:val="0"/>
          <w:numId w:val="1005"/>
        </w:numPr>
      </w:pPr>
      <w:r>
        <w:rPr>
          <w:bCs/>
          <w:b/>
        </w:rPr>
        <w:t xml:space="preserve">Rescale dataset-species layers 0 to 100% for all model types</w:t>
      </w:r>
      <w:r>
        <w:br/>
      </w:r>
      <w:r>
        <w:t xml:space="preserve">While this analysis is detailed spatially, it is coarse in terms of abundance, since the best available spatial distribution information is combined across disparate dataset types, i.e. expert</w:t>
      </w:r>
      <w:r>
        <w:t xml:space="preserve"> </w:t>
      </w:r>
      <w:r>
        <w:rPr>
          <w:iCs/>
          <w:i/>
          <w:bCs/>
          <w:b/>
          <w:u w:val="single"/>
        </w:rPr>
        <w:t xml:space="preserve">range</w:t>
      </w:r>
      <w:r>
        <w:t xml:space="preserve"> </w:t>
      </w:r>
      <w:r>
        <w:t xml:space="preserve">maps (i.e.,</w:t>
      </w:r>
      <w:r>
        <w:t xml:space="preserve"> </w:t>
      </w:r>
      <w:r>
        <w:rPr>
          <w:rStyle w:val="VerbatimChar"/>
        </w:rPr>
        <w:t xml:space="preserve">[rl]</w:t>
      </w:r>
      <w:r>
        <w:t xml:space="preserve">),</w:t>
      </w:r>
      <w:r>
        <w:t xml:space="preserve"> </w:t>
      </w:r>
      <w:r>
        <w:rPr>
          <w:iCs/>
          <w:i/>
          <w:bCs/>
          <w:b/>
          <w:u w:val="single"/>
        </w:rPr>
        <w:t xml:space="preserve">probability</w:t>
      </w:r>
      <w:r>
        <w:t xml:space="preserve"> </w:t>
      </w:r>
      <w:r>
        <w:t xml:space="preserve">of occurrence (i.e.,</w:t>
      </w:r>
      <w:r>
        <w:t xml:space="preserve"> </w:t>
      </w:r>
      <w:r>
        <w:rPr>
          <w:rStyle w:val="VerbatimChar"/>
        </w:rPr>
        <w:t xml:space="preserve">[am]</w:t>
      </w:r>
      <w:r>
        <w:t xml:space="preserve">) and</w:t>
      </w:r>
      <w:r>
        <w:t xml:space="preserve"> </w:t>
      </w:r>
      <w:r>
        <w:rPr>
          <w:iCs/>
          <w:i/>
          <w:bCs/>
          <w:b/>
          <w:u w:val="single"/>
        </w:rPr>
        <w:t xml:space="preserve">density</w:t>
      </w:r>
      <w:r>
        <w:t xml:space="preserve"> </w:t>
      </w:r>
      <w:r>
        <w:t xml:space="preserve">surface models (e.g.,</w:t>
      </w:r>
      <w:r>
        <w:t xml:space="preserve"> </w:t>
      </w:r>
      <w:r>
        <w:rPr>
          <w:rStyle w:val="VerbatimChar"/>
        </w:rPr>
        <w:t xml:space="preserve">[du]</w:t>
      </w:r>
      <w:r>
        <w:t xml:space="preserve">,</w:t>
      </w:r>
      <w:r>
        <w:t xml:space="preserve"> </w:t>
      </w:r>
      <w:r>
        <w:rPr>
          <w:rStyle w:val="VerbatimChar"/>
        </w:rPr>
        <w:t xml:space="preserve">[sw]</w:t>
      </w:r>
      <w:r>
        <w:t xml:space="preserve">,</w:t>
      </w:r>
      <w:r>
        <w:t xml:space="preserve"> </w:t>
      </w:r>
      <w:r>
        <w:rPr>
          <w:rStyle w:val="VerbatimChar"/>
        </w:rPr>
        <w:t xml:space="preserve">[nc]</w:t>
      </w:r>
      <w:r>
        <w:t xml:space="preserve">,</w:t>
      </w:r>
      <w:r>
        <w:t xml:space="preserve"> </w:t>
      </w:r>
      <w:r>
        <w:rPr>
          <w:rStyle w:val="VerbatimChar"/>
        </w:rPr>
        <w:t xml:space="preserve">[gm]</w:t>
      </w:r>
      <w:r>
        <w:t xml:space="preserve">). Model values were rescaled 0 to 100%, i.e. normalized to the existing probability of occurrence range of values (i.e.,</w:t>
      </w:r>
      <w:r>
        <w:t xml:space="preserve"> </w:t>
      </w:r>
      <w:r>
        <w:rPr>
          <w:rStyle w:val="VerbatimChar"/>
        </w:rPr>
        <w:t xml:space="preserve">[am]</w:t>
      </w:r>
      <w:r>
        <w:t xml:space="preserve">). For instance, the original maximum</w:t>
      </w:r>
      <w:r>
        <w:t xml:space="preserve"> </w:t>
      </w:r>
      <w:r>
        <w:rPr>
          <w:iCs/>
          <w:i/>
          <w:bCs/>
          <w:b/>
          <w:u w:val="single"/>
        </w:rPr>
        <w:t xml:space="preserve">density</w:t>
      </w:r>
      <w:r>
        <w:t xml:space="preserve"> </w:t>
      </w:r>
      <w:r>
        <w:t xml:space="preserve">surface model value for common dolphins (</w:t>
      </w:r>
      <w:r>
        <w:rPr>
          <w:iCs/>
          <w:i/>
        </w:rPr>
        <w:t xml:space="preserve">Delphinus delphis</w:t>
      </w:r>
      <w:r>
        <w:t xml:space="preserve">) in the Atlantic from</w:t>
      </w:r>
      <w:r>
        <w:t xml:space="preserve"> </w:t>
      </w:r>
      <w:r>
        <w:rPr>
          <w:rStyle w:val="VerbatimChar"/>
        </w:rPr>
        <w:t xml:space="preserve">[du]</w:t>
      </w:r>
      <w:r>
        <w:t xml:space="preserve"> </w:t>
      </w:r>
      <w:r>
        <w:t xml:space="preserve">is 286 individuals per km</w:t>
      </w:r>
      <w:r>
        <w:rPr>
          <w:vertAlign w:val="superscript"/>
        </w:rPr>
        <w:t xml:space="preserve">2</w:t>
      </w:r>
      <w:r>
        <w:t xml:space="preserve">, whereas for the minke whale (Balaenoptera acutorostrata) in the Pacific from</w:t>
      </w:r>
      <w:r>
        <w:t xml:space="preserve"> </w:t>
      </w:r>
      <w:r>
        <w:rPr>
          <w:rStyle w:val="VerbatimChar"/>
        </w:rPr>
        <w:t xml:space="preserve">[sw]</w:t>
      </w:r>
      <w:r>
        <w:t xml:space="preserve"> </w:t>
      </w:r>
      <w:r>
        <w:t xml:space="preserve">is 0.00491 individuals per km</w:t>
      </w:r>
      <w:r>
        <w:rPr>
          <w:vertAlign w:val="superscript"/>
        </w:rPr>
        <w:t xml:space="preserve">2</w:t>
      </w:r>
      <w:r>
        <w:t xml:space="preserve">. Both of these maxima are converted to 100, since we are not comparing relative abundance between species but rather within species. Since expert</w:t>
      </w:r>
      <w:r>
        <w:t xml:space="preserve"> </w:t>
      </w:r>
      <w:r>
        <w:rPr>
          <w:iCs/>
          <w:i/>
          <w:bCs/>
          <w:b/>
          <w:u w:val="single"/>
        </w:rPr>
        <w:t xml:space="preserve">range</w:t>
      </w:r>
      <w:r>
        <w:t xml:space="preserve"> </w:t>
      </w:r>
      <w:r>
        <w:t xml:space="preserve">maps are binary in nature, i.e. in or out of range, a single value of 50% is applied within the range. Converting the stored values to single unsigned integers (</w:t>
      </w:r>
      <w:r>
        <w:rPr>
          <w:rStyle w:val="VerbatimChar"/>
        </w:rPr>
        <w:t xml:space="preserve">INT1U</w:t>
      </w:r>
      <w:r>
        <w:t xml:space="preserve"> </w:t>
      </w:r>
      <w:r>
        <w:t xml:space="preserve">for the range [0, 100]) enables a significant reduction of individual raster file sizes. Furthermore zeros were converted to</w:t>
      </w:r>
      <w:r>
        <w:t xml:space="preserve"> </w:t>
      </w:r>
      <w:r>
        <w:rPr>
          <w:rStyle w:val="VerbatimChar"/>
        </w:rPr>
        <w:t xml:space="preserve">NA</w:t>
      </w:r>
      <w:r>
        <w:t xml:space="preserve"> </w:t>
      </w:r>
      <w:r>
        <w:t xml:space="preserve">(not available) for the sake of calculating the species range. A similar hierarchy was taken for</w:t>
      </w:r>
      <w:r>
        <w:t xml:space="preserve"> </w:t>
      </w:r>
      <w:hyperlink r:id="rId35">
        <w:r>
          <w:rPr>
            <w:rStyle w:val="Hyperlink"/>
          </w:rPr>
          <w:t xml:space="preserve">Biologically Important Areas to Cetaceans</w:t>
        </w:r>
      </w:hyperlink>
      <w:r>
        <w:t xml:space="preserve"> </w:t>
      </w:r>
      <w:r>
        <w:t xml:space="preserve">in the US</w:t>
      </w:r>
      <w:r>
        <w:t xml:space="preserve"> </w:t>
      </w:r>
      <w:r>
        <w:t xml:space="preserve">(LaBrecque et al. 2015)</w:t>
      </w:r>
      <w:r>
        <w:t xml:space="preserve">.</w:t>
      </w:r>
    </w:p>
    <w:p>
      <w:pPr>
        <w:numPr>
          <w:ilvl w:val="0"/>
          <w:numId w:val="1006"/>
        </w:numPr>
      </w:pPr>
      <w:r>
        <w:rPr>
          <w:bCs/>
          <w:b/>
        </w:rPr>
        <w:t xml:space="preserve">Mosaic to single taxa across datasets, taxa</w:t>
      </w:r>
      <w:r>
        <w:br/>
      </w:r>
      <w:r>
        <w:t xml:space="preserve">Since some datasets were not present in all regions, a mosaic approach was taken whereby different datasets could contribute to different regions, based on which had the most preferred data type (</w:t>
      </w:r>
      <w:r>
        <w:rPr>
          <w:iCs/>
          <w:i/>
          <w:bCs/>
          <w:b/>
        </w:rPr>
        <w:t xml:space="preserve">density</w:t>
      </w:r>
      <w:r>
        <w:t xml:space="preserve"> </w:t>
      </w:r>
      <w:r>
        <w:t xml:space="preserve">&gt;</w:t>
      </w:r>
      <w:r>
        <w:t xml:space="preserve"> </w:t>
      </w:r>
      <w:r>
        <w:rPr>
          <w:iCs/>
          <w:i/>
          <w:bCs/>
          <w:b/>
        </w:rPr>
        <w:t xml:space="preserve">probability</w:t>
      </w:r>
      <w:r>
        <w:t xml:space="preserve"> </w:t>
      </w:r>
      <w:r>
        <w:t xml:space="preserve">&gt;</w:t>
      </w:r>
      <w:r>
        <w:t xml:space="preserve"> </w:t>
      </w:r>
      <w:r>
        <w:rPr>
          <w:iCs/>
          <w:i/>
          <w:bCs/>
          <w:b/>
        </w:rPr>
        <w:t xml:space="preserve">range</w:t>
      </w:r>
      <w:r>
        <w:t xml:space="preserve"> </w:t>
      </w:r>
      <w:r>
        <w:t xml:space="preserve">&gt;</w:t>
      </w:r>
      <w:r>
        <w:t xml:space="preserve"> </w:t>
      </w:r>
      <w:r>
        <w:rPr>
          <w:iCs/>
          <w:i/>
          <w:bCs/>
          <w:b/>
        </w:rPr>
        <w:t xml:space="preserve">occurrence</w:t>
      </w:r>
      <w:r>
        <w:t xml:space="preserve">) most recently collected (</w:t>
      </w:r>
      <w:r>
        <w:rPr>
          <w:iCs/>
          <w:i/>
          <w:bCs/>
          <w:b/>
        </w:rPr>
        <w:t xml:space="preserve">newer</w:t>
      </w:r>
      <w:r>
        <w:t xml:space="preserve"> </w:t>
      </w:r>
      <w:r>
        <w:t xml:space="preserve">&gt;</w:t>
      </w:r>
      <w:r>
        <w:t xml:space="preserve"> </w:t>
      </w:r>
      <w:r>
        <w:rPr>
          <w:iCs/>
          <w:i/>
          <w:bCs/>
          <w:b/>
        </w:rPr>
        <w:t xml:space="preserve">older</w:t>
      </w:r>
      <w:r>
        <w:t xml:space="preserve">). Of 10,061 species, only 41 had multiple datasets contributing to different regions.</w:t>
      </w:r>
    </w:p>
    <w:p>
      <w:pPr>
        <w:numPr>
          <w:ilvl w:val="0"/>
          <w:numId w:val="1006"/>
        </w:numPr>
      </w:pPr>
      <w:r>
        <w:rPr>
          <w:bCs/>
          <w:b/>
        </w:rPr>
        <w:t xml:space="preserve">Aggregate layers to use as inputs to scoring</w:t>
      </w:r>
      <w:r>
        <w:br/>
      </w:r>
      <w:r>
        <w:rPr>
          <w:bCs/>
          <w:b/>
        </w:rPr>
        <w:t xml:space="preserve">Species Richness</w:t>
      </w:r>
      <w:r>
        <w:t xml:space="preserve"> </w:t>
      </w:r>
      <w:r>
        <w:t xml:space="preserve">was calculated as the sum of the presence of taxa in a given pixel.</w:t>
      </w:r>
      <w:r>
        <w:t xml:space="preserve"> </w:t>
      </w:r>
      <w:r>
        <w:rPr>
          <w:bCs/>
          <w:b/>
        </w:rPr>
        <w:t xml:space="preserve">pecies Abundance</w:t>
      </w:r>
      <w:r>
        <w:t xml:space="preserve"> </w:t>
      </w:r>
      <w:r>
        <w:t xml:space="preserve">was the normalized abundance (ranging 1 to 100) within the pixel.</w:t>
      </w:r>
      <w:r>
        <w:t xml:space="preserve"> </w:t>
      </w:r>
      <w:r>
        <w:rPr>
          <w:bCs/>
          <w:b/>
        </w:rPr>
        <w:t xml:space="preserve">Extinction Risk</w:t>
      </w:r>
      <w:r>
        <w:t xml:space="preserve"> </w:t>
      </w:r>
      <w:r>
        <w:t xml:space="preserve">was based on species having an IUCN RedList Category and converted to a score:</w:t>
      </w:r>
      <w:r>
        <w:t xml:space="preserve"> </w:t>
      </w:r>
      <w:r>
        <w:rPr>
          <w:rStyle w:val="VerbatimChar"/>
        </w:rPr>
        <w:t xml:space="preserve">0</w:t>
      </w:r>
      <w:r>
        <w:t xml:space="preserve"> </w:t>
      </w:r>
      <w:r>
        <w:t xml:space="preserve">for Least Concern (LC),</w:t>
      </w:r>
      <w:r>
        <w:t xml:space="preserve"> </w:t>
      </w:r>
      <w:r>
        <w:rPr>
          <w:rStyle w:val="VerbatimChar"/>
        </w:rPr>
        <w:t xml:space="preserve">1</w:t>
      </w:r>
      <w:r>
        <w:t xml:space="preserve"> </w:t>
      </w:r>
      <w:r>
        <w:t xml:space="preserve">for Near Threatened (NT), 2 for Vulnerable (VU), 3 for Endangered (EN) and 4 for Critically endangered (CR)</w:t>
      </w:r>
      <w:r>
        <w:t xml:space="preserve"> </w:t>
      </w:r>
      <w:r>
        <w:t xml:space="preserve">(Juslén et al. 2016)</w:t>
      </w:r>
      <w:r>
        <w:t xml:space="preserve">. In future, endemism, trophic level,</w:t>
      </w:r>
      <w:r>
        <w:t xml:space="preserve"> </w:t>
      </w:r>
      <w:hyperlink r:id="rId36">
        <w:r>
          <w:rPr>
            <w:rStyle w:val="Hyperlink"/>
          </w:rPr>
          <w:t xml:space="preserve">MarineSpecies.org/Traits</w:t>
        </w:r>
      </w:hyperlink>
      <w:r>
        <w:t xml:space="preserve">,</w:t>
      </w:r>
      <w:r>
        <w:t xml:space="preserve"> </w:t>
      </w:r>
      <w:hyperlink r:id="rId37">
        <w:r>
          <w:rPr>
            <w:rStyle w:val="Hyperlink"/>
          </w:rPr>
          <w:t xml:space="preserve">FishBase.org</w:t>
        </w:r>
      </w:hyperlink>
      <w:r>
        <w:t xml:space="preserve">, …</w:t>
      </w:r>
    </w:p>
    <w:p>
      <w:pPr>
        <w:numPr>
          <w:ilvl w:val="0"/>
          <w:numId w:val="1006"/>
        </w:numPr>
      </w:pPr>
      <w:r>
        <w:rPr>
          <w:bCs/>
          <w:b/>
        </w:rPr>
        <w:t xml:space="preserve">Score with input layers</w:t>
      </w:r>
      <w:r>
        <w:br/>
      </w:r>
      <w:r>
        <w:t xml:space="preserve">Calculate the score per pixel with the input aggregate layers using</w:t>
      </w:r>
      <w:r>
        <w:t xml:space="preserve"> </w:t>
      </w:r>
      <w:hyperlink w:anchor="eq-scoring">
        <w:r>
          <w:rPr>
            <w:rStyle w:val="Hyperlink"/>
          </w:rPr>
          <w:t xml:space="preserve">Equation 3.1</w:t>
        </w:r>
      </w:hyperlink>
      <w:r>
        <w:t xml:space="preserve">.</w:t>
      </w:r>
    </w:p>
    <w:p>
      <w:pPr>
        <w:numPr>
          <w:ilvl w:val="0"/>
          <w:numId w:val="1006"/>
        </w:numPr>
      </w:pPr>
      <w:r>
        <w:rPr>
          <w:bCs/>
          <w:b/>
        </w:rPr>
        <w:t xml:space="preserve">Extract across spatial hierarchies</w:t>
      </w:r>
      <w:r>
        <w:br/>
      </w:r>
      <w:r>
        <w:t xml:space="preserve">Zonal statistics were then captured across the full spatial hierarchy of Study, Regions, Zones and Blocks.</w:t>
      </w:r>
    </w:p>
    <w:p>
      <w:pPr>
        <w:numPr>
          <w:ilvl w:val="0"/>
          <w:numId w:val="1006"/>
        </w:numPr>
      </w:pPr>
      <w:r>
        <w:rPr>
          <w:bCs/>
          <w:b/>
        </w:rPr>
        <w:t xml:space="preserve">Make scores relative to spatial hierarchy</w:t>
      </w:r>
      <w:r>
        <w:br/>
      </w:r>
      <w:r>
        <w:t xml:space="preserve">Normalize pixel and Block scores per Zone by subtracting the mean and dividing by the standard deviation (</w:t>
      </w:r>
      <w:hyperlink w:anchor="eq-normalizing">
        <w:r>
          <w:rPr>
            <w:rStyle w:val="Hyperlink"/>
          </w:rPr>
          <w:t xml:space="preserve">Equation 3.2</w:t>
        </w:r>
      </w:hyperlink>
      <w:r>
        <w:t xml:space="preserve">). This way pixels and Blocks equal to the mean will be 0, positive values containing higher conservation scores, negative values lower conservation scores.</w:t>
      </w:r>
    </w:p>
    <w:bookmarkEnd w:id="38"/>
    <w:bookmarkStart w:id="40" w:name="scoring-conservation-value"/>
    <w:p>
      <w:pPr>
        <w:pStyle w:val="Heading2"/>
      </w:pPr>
      <w:r>
        <w:t xml:space="preserve">3.4 Scoring Conservation Value</w:t>
      </w:r>
    </w:p>
    <w:p>
      <w:pPr>
        <w:pStyle w:val="FirstParagraph"/>
      </w:pPr>
      <w:r>
        <w:t xml:space="preserve">By combining disperate layers with weights we can arrive at a fundamental conservation index</w:t>
      </w:r>
      <w:r>
        <w:t xml:space="preserve"> </w:t>
      </w:r>
      <w:r>
        <w:t xml:space="preserve">(O’Hara and Halpern 2022)</w:t>
      </w:r>
      <w:r>
        <w:t xml:space="preserve">.</w:t>
      </w:r>
    </w:p>
    <w:p>
      <w:pPr>
        <w:pStyle w:val="BodyText"/>
      </w:pPr>
      <w:bookmarkStart w:id="39" w:name="eq-scoring"/>
      <m:oMathPara>
        <m:oMathParaPr>
          <m:jc m:val="center"/>
        </m:oMathParaPr>
        <m:oMath>
          <m:m>
            <m:mPr>
              <m:baseJc m:val="center"/>
              <m:plcHide m:val="1"/>
              <m:mcs>
                <m:mc>
                  <m:mcPr>
                    <m:mcJc m:val="right"/>
                    <m:count m:val="1"/>
                  </m:mcPr>
                </m:mc>
                <m:mc>
                  <m:mcPr>
                    <m:mcJc m:val="left"/>
                    <m:count m:val="1"/>
                  </m:mcPr>
                </m:mc>
              </m:mcs>
            </m:mPr>
            <m:mr>
              <m:e/>
              <m:e>
                <m:r>
                  <m:rPr>
                    <m:sty m:val="p"/>
                  </m:rPr>
                  <m:t>r</m:t>
                </m:r>
                <m:r>
                  <m:t>e</m:t>
                </m:r>
                <m:r>
                  <m:t>s</m:t>
                </m:r>
                <m:r>
                  <m:t>c</m:t>
                </m:r>
                <m:r>
                  <m:t>a</m:t>
                </m:r>
                <m:r>
                  <m:t>l</m:t>
                </m:r>
                <m:r>
                  <m:t>e</m:t>
                </m:r>
                <m:d>
                  <m:dPr>
                    <m:begChr m:val="("/>
                    <m:endChr m:val=")"/>
                    <m:sepChr m:val=""/>
                    <m:grow/>
                  </m:dPr>
                  <m:e>
                    <m:r>
                      <m:t>x</m:t>
                    </m:r>
                  </m:e>
                </m:d>
                <m:r>
                  <m:rPr>
                    <m:sty m:val="p"/>
                  </m:rPr>
                  <m:t>=</m:t>
                </m:r>
                <m:d>
                  <m:dPr>
                    <m:begChr m:val="["/>
                    <m:endChr m:val="]"/>
                    <m:sepChr m:val=""/>
                    <m:grow/>
                  </m:dPr>
                  <m:e>
                    <m:r>
                      <m:t>x</m:t>
                    </m:r>
                    <m:r>
                      <m:rPr>
                        <m:sty m:val="p"/>
                      </m:rPr>
                      <m:t>−</m:t>
                    </m:r>
                    <m:r>
                      <m:t>m</m:t>
                    </m:r>
                    <m:r>
                      <m:t>i</m:t>
                    </m:r>
                    <m:r>
                      <m:t>n</m:t>
                    </m:r>
                    <m:d>
                      <m:dPr>
                        <m:begChr m:val="("/>
                        <m:endChr m:val=")"/>
                        <m:sepChr m:val=""/>
                        <m:grow/>
                      </m:dPr>
                      <m:e>
                        <m:r>
                          <m:t>x</m:t>
                        </m:r>
                      </m:e>
                    </m:d>
                  </m:e>
                </m:d>
                <m:r>
                  <m:rPr>
                    <m:sty m:val="p"/>
                  </m:rPr>
                  <m:t>/</m:t>
                </m:r>
                <m:d>
                  <m:dPr>
                    <m:begChr m:val="["/>
                    <m:endChr m:val="]"/>
                    <m:sepChr m:val=""/>
                    <m:grow/>
                  </m:dPr>
                  <m:e>
                    <m:r>
                      <m:t>m</m:t>
                    </m:r>
                    <m:r>
                      <m:t>a</m:t>
                    </m:r>
                    <m:r>
                      <m:t>x</m:t>
                    </m:r>
                    <m:d>
                      <m:dPr>
                        <m:begChr m:val="("/>
                        <m:endChr m:val=")"/>
                        <m:sepChr m:val=""/>
                        <m:grow/>
                      </m:dPr>
                      <m:e>
                        <m:r>
                          <m:t>x</m:t>
                        </m:r>
                      </m:e>
                    </m:d>
                    <m:r>
                      <m:rPr>
                        <m:sty m:val="p"/>
                      </m:rPr>
                      <m:t>−</m:t>
                    </m:r>
                    <m:r>
                      <m:t>m</m:t>
                    </m:r>
                    <m:r>
                      <m:t>i</m:t>
                    </m:r>
                    <m:r>
                      <m:t>n</m:t>
                    </m:r>
                    <m:d>
                      <m:dPr>
                        <m:begChr m:val="("/>
                        <m:endChr m:val=")"/>
                        <m:sepChr m:val=""/>
                        <m:grow/>
                      </m:dPr>
                      <m:e>
                        <m:r>
                          <m:t>x</m:t>
                        </m:r>
                      </m:e>
                    </m:d>
                  </m:e>
                </m:d>
              </m:e>
            </m:mr>
            <m:mr>
              <m:e/>
            </m:mr>
            <m:mr>
              <m:e/>
              <m:e>
                <m:r>
                  <m:rPr>
                    <m:sty m:val="p"/>
                  </m:rPr>
                  <m:t>S</m:t>
                </m:r>
                <m:r>
                  <m:t>c</m:t>
                </m:r>
                <m:r>
                  <m:t>o</m:t>
                </m:r>
                <m:r>
                  <m:t>r</m:t>
                </m:r>
                <m:sSub>
                  <m:e>
                    <m:r>
                      <m:t>e</m:t>
                    </m:r>
                  </m:e>
                  <m:sub>
                    <m:r>
                      <m:t>r</m:t>
                    </m:r>
                    <m:r>
                      <m:t>a</m:t>
                    </m:r>
                    <m:r>
                      <m:t>w</m:t>
                    </m:r>
                  </m:sub>
                </m:sSub>
                <m:r>
                  <m:rPr>
                    <m:sty m:val="p"/>
                  </m:rPr>
                  <m:t>=</m:t>
                </m:r>
                <m:sSub>
                  <m:e>
                    <m:r>
                      <m:t>w</m:t>
                    </m:r>
                  </m:e>
                  <m:sub>
                    <m:r>
                      <m:t>S</m:t>
                    </m:r>
                    <m:r>
                      <m:t>R</m:t>
                    </m:r>
                  </m:sub>
                </m:sSub>
                <m:r>
                  <m:rPr>
                    <m:sty m:val="p"/>
                  </m:rPr>
                  <m:t>*</m:t>
                </m:r>
                <m:r>
                  <m:t>r</m:t>
                </m:r>
                <m:r>
                  <m:t>e</m:t>
                </m:r>
                <m:r>
                  <m:t>s</m:t>
                </m:r>
                <m:r>
                  <m:t>c</m:t>
                </m:r>
                <m:r>
                  <m:t>a</m:t>
                </m:r>
                <m:r>
                  <m:t>l</m:t>
                </m:r>
                <m:r>
                  <m:t>e</m:t>
                </m:r>
                <m:d>
                  <m:dPr>
                    <m:begChr m:val="("/>
                    <m:endChr m:val=")"/>
                    <m:sepChr m:val=""/>
                    <m:grow/>
                  </m:dPr>
                  <m:e>
                    <m:r>
                      <m:t>S</m:t>
                    </m:r>
                    <m:r>
                      <m:t>p</m:t>
                    </m:r>
                    <m:r>
                      <m:t>e</m:t>
                    </m:r>
                    <m:r>
                      <m:t>c</m:t>
                    </m:r>
                    <m:r>
                      <m:t>i</m:t>
                    </m:r>
                    <m:r>
                      <m:t>e</m:t>
                    </m:r>
                    <m:r>
                      <m:t>s</m:t>
                    </m:r>
                    <m:r>
                      <m:t>R</m:t>
                    </m:r>
                    <m:r>
                      <m:t>i</m:t>
                    </m:r>
                    <m:r>
                      <m:t>c</m:t>
                    </m:r>
                    <m:r>
                      <m:t>h</m:t>
                    </m:r>
                    <m:r>
                      <m:t>n</m:t>
                    </m:r>
                    <m:r>
                      <m:t>e</m:t>
                    </m:r>
                    <m:r>
                      <m:t>s</m:t>
                    </m:r>
                    <m:r>
                      <m:t>s</m:t>
                    </m:r>
                  </m:e>
                </m:d>
              </m:e>
            </m:mr>
            <m:mr>
              <m:e/>
              <m:e>
                <m:r>
                  <m:rPr>
                    <m:sty m:val="p"/>
                  </m:rPr>
                  <m:t>+</m:t>
                </m:r>
                <m:sSub>
                  <m:e>
                    <m:r>
                      <m:t>w</m:t>
                    </m:r>
                  </m:e>
                  <m:sub>
                    <m:r>
                      <m:t>S</m:t>
                    </m:r>
                    <m:r>
                      <m:t>A</m:t>
                    </m:r>
                  </m:sub>
                </m:sSub>
                <m:r>
                  <m:rPr>
                    <m:sty m:val="p"/>
                  </m:rPr>
                  <m:t>*</m:t>
                </m:r>
                <m:r>
                  <m:t>r</m:t>
                </m:r>
                <m:r>
                  <m:t>e</m:t>
                </m:r>
                <m:r>
                  <m:t>s</m:t>
                </m:r>
                <m:r>
                  <m:t>c</m:t>
                </m:r>
                <m:r>
                  <m:t>a</m:t>
                </m:r>
                <m:r>
                  <m:t>l</m:t>
                </m:r>
                <m:r>
                  <m:t>e</m:t>
                </m:r>
                <m:d>
                  <m:dPr>
                    <m:begChr m:val="("/>
                    <m:endChr m:val=")"/>
                    <m:sepChr m:val=""/>
                    <m:grow/>
                  </m:dPr>
                  <m:e>
                    <m:r>
                      <m:t>S</m:t>
                    </m:r>
                    <m:r>
                      <m:t>p</m:t>
                    </m:r>
                    <m:r>
                      <m:t>e</m:t>
                    </m:r>
                    <m:r>
                      <m:t>c</m:t>
                    </m:r>
                    <m:r>
                      <m:t>i</m:t>
                    </m:r>
                    <m:r>
                      <m:t>e</m:t>
                    </m:r>
                    <m:r>
                      <m:t>s</m:t>
                    </m:r>
                    <m:r>
                      <m:t>A</m:t>
                    </m:r>
                    <m:r>
                      <m:t>b</m:t>
                    </m:r>
                    <m:r>
                      <m:t>u</m:t>
                    </m:r>
                    <m:r>
                      <m:t>n</m:t>
                    </m:r>
                    <m:r>
                      <m:t>d</m:t>
                    </m:r>
                    <m:r>
                      <m:t>a</m:t>
                    </m:r>
                    <m:r>
                      <m:t>n</m:t>
                    </m:r>
                    <m:r>
                      <m:t>c</m:t>
                    </m:r>
                    <m:r>
                      <m:t>e</m:t>
                    </m:r>
                  </m:e>
                </m:d>
              </m:e>
            </m:mr>
            <m:mr>
              <m:e/>
              <m:e>
                <m:r>
                  <m:rPr>
                    <m:sty m:val="p"/>
                  </m:rPr>
                  <m:t>+</m:t>
                </m:r>
                <m:sSub>
                  <m:e>
                    <m:r>
                      <m:t>w</m:t>
                    </m:r>
                  </m:e>
                  <m:sub>
                    <m:r>
                      <m:t>E</m:t>
                    </m:r>
                    <m:r>
                      <m:t>R</m:t>
                    </m:r>
                  </m:sub>
                </m:sSub>
                <m:r>
                  <m:rPr>
                    <m:sty m:val="p"/>
                  </m:rPr>
                  <m:t>*</m:t>
                </m:r>
                <m:r>
                  <m:t>r</m:t>
                </m:r>
                <m:r>
                  <m:t>e</m:t>
                </m:r>
                <m:r>
                  <m:t>s</m:t>
                </m:r>
                <m:r>
                  <m:t>c</m:t>
                </m:r>
                <m:r>
                  <m:t>a</m:t>
                </m:r>
                <m:r>
                  <m:t>l</m:t>
                </m:r>
                <m:r>
                  <m:t>e</m:t>
                </m:r>
                <m:d>
                  <m:dPr>
                    <m:begChr m:val="("/>
                    <m:endChr m:val=")"/>
                    <m:sepChr m:val=""/>
                    <m:grow/>
                  </m:dPr>
                  <m:e>
                    <m:r>
                      <m:t>E</m:t>
                    </m:r>
                    <m:r>
                      <m:t>x</m:t>
                    </m:r>
                    <m:r>
                      <m:t>t</m:t>
                    </m:r>
                    <m:r>
                      <m:t>i</m:t>
                    </m:r>
                    <m:r>
                      <m:t>n</m:t>
                    </m:r>
                    <m:r>
                      <m:t>c</m:t>
                    </m:r>
                    <m:r>
                      <m:t>t</m:t>
                    </m:r>
                    <m:r>
                      <m:t>i</m:t>
                    </m:r>
                    <m:r>
                      <m:t>o</m:t>
                    </m:r>
                    <m:r>
                      <m:t>n</m:t>
                    </m:r>
                    <m:r>
                      <m:t>R</m:t>
                    </m:r>
                    <m:r>
                      <m:t>i</m:t>
                    </m:r>
                    <m:r>
                      <m:t>s</m:t>
                    </m:r>
                    <m:r>
                      <m:t>k</m:t>
                    </m:r>
                  </m:e>
                </m:d>
              </m:e>
            </m:mr>
            <m:mr>
              <m:e/>
              <m:e>
                <m:r>
                  <m:rPr>
                    <m:sty m:val="p"/>
                  </m:rPr>
                  <m:t>+</m:t>
                </m:r>
                <m:sSub>
                  <m:e>
                    <m:r>
                      <m:t>w</m:t>
                    </m:r>
                  </m:e>
                  <m:sub>
                    <m:r>
                      <m:t>P</m:t>
                    </m:r>
                    <m:r>
                      <m:t>P</m:t>
                    </m:r>
                  </m:sub>
                </m:sSub>
                <m:r>
                  <m:rPr>
                    <m:sty m:val="p"/>
                  </m:rPr>
                  <m:t>*</m:t>
                </m:r>
                <m:r>
                  <m:t>r</m:t>
                </m:r>
                <m:r>
                  <m:t>e</m:t>
                </m:r>
                <m:r>
                  <m:t>s</m:t>
                </m:r>
                <m:r>
                  <m:t>c</m:t>
                </m:r>
                <m:r>
                  <m:t>a</m:t>
                </m:r>
                <m:r>
                  <m:t>l</m:t>
                </m:r>
                <m:r>
                  <m:t>e</m:t>
                </m:r>
                <m:d>
                  <m:dPr>
                    <m:begChr m:val="("/>
                    <m:endChr m:val=")"/>
                    <m:sepChr m:val=""/>
                    <m:grow/>
                  </m:dPr>
                  <m:e>
                    <m:r>
                      <m:t>P</m:t>
                    </m:r>
                    <m:r>
                      <m:t>r</m:t>
                    </m:r>
                    <m:r>
                      <m:t>i</m:t>
                    </m:r>
                    <m:r>
                      <m:t>m</m:t>
                    </m:r>
                    <m:r>
                      <m:t>a</m:t>
                    </m:r>
                    <m:r>
                      <m:t>r</m:t>
                    </m:r>
                    <m:r>
                      <m:t>y</m:t>
                    </m:r>
                    <m:r>
                      <m:t>P</m:t>
                    </m:r>
                    <m:r>
                      <m:t>r</m:t>
                    </m:r>
                    <m:r>
                      <m:t>o</m:t>
                    </m:r>
                    <m:r>
                      <m:t>d</m:t>
                    </m:r>
                    <m:r>
                      <m:t>u</m:t>
                    </m:r>
                    <m:r>
                      <m:t>c</m:t>
                    </m:r>
                    <m:r>
                      <m:t>t</m:t>
                    </m:r>
                    <m:r>
                      <m:t>i</m:t>
                    </m:r>
                    <m:r>
                      <m:t>v</m:t>
                    </m:r>
                    <m:r>
                      <m:t>i</m:t>
                    </m:r>
                    <m:r>
                      <m:t>t</m:t>
                    </m:r>
                    <m:r>
                      <m:t>y</m:t>
                    </m:r>
                  </m:e>
                </m:d>
              </m:e>
            </m:mr>
            <m:mr>
              <m:e/>
              <m:e>
                <m:r>
                  <m:rPr>
                    <m:sty m:val="p"/>
                  </m:rPr>
                  <m:t>+</m:t>
                </m:r>
                <m:sSub>
                  <m:e>
                    <m:r>
                      <m:t>w</m:t>
                    </m:r>
                  </m:e>
                  <m:sub>
                    <m:r>
                      <m:t>H</m:t>
                    </m:r>
                    <m:r>
                      <m:t>V</m:t>
                    </m:r>
                  </m:sub>
                </m:sSub>
                <m:r>
                  <m:rPr>
                    <m:sty m:val="p"/>
                  </m:rPr>
                  <m:t>*</m:t>
                </m:r>
                <m:r>
                  <m:t>r</m:t>
                </m:r>
                <m:r>
                  <m:t>e</m:t>
                </m:r>
                <m:r>
                  <m:t>s</m:t>
                </m:r>
                <m:r>
                  <m:t>c</m:t>
                </m:r>
                <m:r>
                  <m:t>a</m:t>
                </m:r>
                <m:r>
                  <m:t>l</m:t>
                </m:r>
                <m:r>
                  <m:t>e</m:t>
                </m:r>
                <m:d>
                  <m:dPr>
                    <m:begChr m:val="("/>
                    <m:endChr m:val=")"/>
                    <m:sepChr m:val=""/>
                    <m:grow/>
                  </m:dPr>
                  <m:e>
                    <m:r>
                      <m:t>H</m:t>
                    </m:r>
                    <m:r>
                      <m:t>y</m:t>
                    </m:r>
                    <m:r>
                      <m:t>d</m:t>
                    </m:r>
                    <m:r>
                      <m:t>r</m:t>
                    </m:r>
                    <m:r>
                      <m:t>o</m:t>
                    </m:r>
                    <m:r>
                      <m:t>t</m:t>
                    </m:r>
                    <m:r>
                      <m:t>h</m:t>
                    </m:r>
                    <m:r>
                      <m:t>e</m:t>
                    </m:r>
                    <m:r>
                      <m:t>r</m:t>
                    </m:r>
                    <m:r>
                      <m:t>m</m:t>
                    </m:r>
                    <m:r>
                      <m:t>a</m:t>
                    </m:r>
                    <m:r>
                      <m:t>l</m:t>
                    </m:r>
                    <m:r>
                      <m:t>V</m:t>
                    </m:r>
                    <m:r>
                      <m:t>e</m:t>
                    </m:r>
                    <m:r>
                      <m:t>n</m:t>
                    </m:r>
                    <m:r>
                      <m:t>t</m:t>
                    </m:r>
                    <m:r>
                      <m:t>s</m:t>
                    </m:r>
                  </m:e>
                </m:d>
              </m:e>
            </m:mr>
            <m:mr>
              <m:e/>
              <m:e>
                <m:r>
                  <m:rPr>
                    <m:sty m:val="p"/>
                  </m:rPr>
                  <m:t>+</m:t>
                </m:r>
                <m:sSub>
                  <m:e>
                    <m:r>
                      <m:t>w</m:t>
                    </m:r>
                  </m:e>
                  <m:sub>
                    <m:r>
                      <m:t>S</m:t>
                    </m:r>
                  </m:sub>
                </m:sSub>
                <m:r>
                  <m:rPr>
                    <m:sty m:val="p"/>
                  </m:rPr>
                  <m:t>*</m:t>
                </m:r>
                <m:r>
                  <m:t>r</m:t>
                </m:r>
                <m:r>
                  <m:t>e</m:t>
                </m:r>
                <m:r>
                  <m:t>s</m:t>
                </m:r>
                <m:r>
                  <m:t>c</m:t>
                </m:r>
                <m:r>
                  <m:t>a</m:t>
                </m:r>
                <m:r>
                  <m:t>l</m:t>
                </m:r>
                <m:r>
                  <m:t>e</m:t>
                </m:r>
                <m:d>
                  <m:dPr>
                    <m:begChr m:val="("/>
                    <m:endChr m:val=")"/>
                    <m:sepChr m:val=""/>
                    <m:grow/>
                  </m:dPr>
                  <m:e>
                    <m:r>
                      <m:t>S</m:t>
                    </m:r>
                    <m:r>
                      <m:t>e</m:t>
                    </m:r>
                    <m:r>
                      <m:t>a</m:t>
                    </m:r>
                    <m:r>
                      <m:t>m</m:t>
                    </m:r>
                    <m:r>
                      <m:t>o</m:t>
                    </m:r>
                    <m:r>
                      <m:t>u</m:t>
                    </m:r>
                    <m:r>
                      <m:t>n</m:t>
                    </m:r>
                    <m:r>
                      <m:t>t</m:t>
                    </m:r>
                    <m:r>
                      <m:t>s</m:t>
                    </m:r>
                  </m:e>
                </m:d>
              </m:e>
            </m:mr>
            <m:mr>
              <m:e/>
            </m:mr>
            <m:mr>
              <m:e/>
              <m:e>
                <m:r>
                  <m:rPr>
                    <m:sty m:val="p"/>
                  </m:rPr>
                  <m:t>S</m:t>
                </m:r>
                <m:r>
                  <m:t>c</m:t>
                </m:r>
                <m:r>
                  <m:t>o</m:t>
                </m:r>
                <m:r>
                  <m:t>r</m:t>
                </m:r>
                <m:r>
                  <m:t>e</m:t>
                </m:r>
                <m:r>
                  <m:rPr>
                    <m:sty m:val="p"/>
                  </m:rPr>
                  <m:t>=</m:t>
                </m:r>
                <m:r>
                  <m:t>r</m:t>
                </m:r>
                <m:r>
                  <m:t>e</m:t>
                </m:r>
                <m:r>
                  <m:t>s</m:t>
                </m:r>
                <m:r>
                  <m:t>c</m:t>
                </m:r>
                <m:r>
                  <m:t>a</m:t>
                </m:r>
                <m:r>
                  <m:t>l</m:t>
                </m:r>
                <m:r>
                  <m:t>e</m:t>
                </m:r>
                <m:d>
                  <m:dPr>
                    <m:begChr m:val="("/>
                    <m:endChr m:val=")"/>
                    <m:sepChr m:val=""/>
                    <m:grow/>
                  </m:dPr>
                  <m:e>
                    <m:r>
                      <m:t>S</m:t>
                    </m:r>
                    <m:r>
                      <m:t>c</m:t>
                    </m:r>
                    <m:r>
                      <m:t>o</m:t>
                    </m:r>
                    <m:r>
                      <m:t>r</m:t>
                    </m:r>
                    <m:sSub>
                      <m:e>
                        <m:r>
                          <m:t>e</m:t>
                        </m:r>
                      </m:e>
                      <m:sub>
                        <m:r>
                          <m:t>r</m:t>
                        </m:r>
                        <m:r>
                          <m:t>a</m:t>
                        </m:r>
                        <m:r>
                          <m:t>w</m:t>
                        </m:r>
                      </m:sub>
                    </m:sSub>
                  </m:e>
                </m:d>
                <m:r>
                  <m:rPr>
                    <m:sty m:val="p"/>
                  </m:rPr>
                  <m:t>*</m:t>
                </m:r>
                <m:r>
                  <m:t>100</m:t>
                </m:r>
              </m:e>
            </m:mr>
          </m:m>
          <m:r>
            <m:t>  </m:t>
          </m:r>
          <m:d>
            <m:dPr>
              <m:begChr m:val="("/>
              <m:endChr m:val=")"/>
              <m:sepChr m:val=""/>
              <m:grow/>
            </m:dPr>
            <m:e>
              <m:r>
                <m:t>3.1</m:t>
              </m:r>
            </m:e>
          </m:d>
        </m:oMath>
      </m:oMathPara>
      <w:bookmarkEnd w:id="39"/>
    </w:p>
    <w:p>
      <w:pPr>
        <w:pStyle w:val="FirstParagraph"/>
      </w:pPr>
      <w:r>
        <w:t xml:space="preserve">The</w:t>
      </w:r>
      <w:r>
        <w:t xml:space="preserve"> </w:t>
      </w:r>
      <m:oMath>
        <m:r>
          <m:t>H</m:t>
        </m:r>
        <m:r>
          <m:t>y</m:t>
        </m:r>
        <m:r>
          <m:t>d</m:t>
        </m:r>
        <m:r>
          <m:t>r</m:t>
        </m:r>
        <m:r>
          <m:t>o</m:t>
        </m:r>
        <m:r>
          <m:t>t</m:t>
        </m:r>
        <m:r>
          <m:t>h</m:t>
        </m:r>
        <m:r>
          <m:t>e</m:t>
        </m:r>
        <m:r>
          <m:t>r</m:t>
        </m:r>
        <m:r>
          <m:t>m</m:t>
        </m:r>
        <m:r>
          <m:t>a</m:t>
        </m:r>
        <m:r>
          <m:t>l</m:t>
        </m:r>
        <m:r>
          <m:t>V</m:t>
        </m:r>
        <m:r>
          <m:t>e</m:t>
        </m:r>
        <m:r>
          <m:t>n</m:t>
        </m:r>
        <m:r>
          <m:t>t</m:t>
        </m:r>
        <m:r>
          <m:t>s</m:t>
        </m:r>
      </m:oMath>
      <w:r>
        <w:t xml:space="preserve"> </w:t>
      </w:r>
      <w:r>
        <w:t xml:space="preserve">and</w:t>
      </w:r>
      <w:r>
        <w:t xml:space="preserve"> </w:t>
      </w:r>
      <m:oMath>
        <m:r>
          <m:t>S</m:t>
        </m:r>
        <m:r>
          <m:t>e</m:t>
        </m:r>
        <m:r>
          <m:t>a</m:t>
        </m:r>
        <m:r>
          <m:t>M</m:t>
        </m:r>
        <m:r>
          <m:t>o</m:t>
        </m:r>
        <m:r>
          <m:t>u</m:t>
        </m:r>
        <m:r>
          <m:t>n</m:t>
        </m:r>
        <m:r>
          <m:t>t</m:t>
        </m:r>
        <m:r>
          <m:t>s</m:t>
        </m:r>
      </m:oMath>
      <w:r>
        <w:t xml:space="preserve"> </w:t>
      </w:r>
      <w:r>
        <w:t xml:space="preserve">layers are presence-only (i.e., binary,</w:t>
      </w:r>
      <w:r>
        <w:t xml:space="preserve"> </w:t>
      </w:r>
      <w:r>
        <w:rPr>
          <w:rStyle w:val="VerbatimChar"/>
        </w:rPr>
        <w:t xml:space="preserve">1</w:t>
      </w:r>
      <w:r>
        <w:t xml:space="preserve"> </w:t>
      </w:r>
      <w:r>
        <w:t xml:space="preserve">or</w:t>
      </w:r>
      <w:r>
        <w:t xml:space="preserve"> </w:t>
      </w:r>
      <w:r>
        <w:rPr>
          <w:rStyle w:val="VerbatimChar"/>
        </w:rPr>
        <w:t xml:space="preserve">0</w:t>
      </w:r>
      <w:r>
        <w:t xml:space="preserve">), so convert to a value of</w:t>
      </w:r>
      <w:r>
        <w:t xml:space="preserve"> </w:t>
      </w:r>
      <w:r>
        <w:rPr>
          <w:rStyle w:val="VerbatimChar"/>
        </w:rPr>
        <w:t xml:space="preserve">0.5</w:t>
      </w:r>
      <w:r>
        <w:t xml:space="preserve"> </w:t>
      </w:r>
      <w:r>
        <w:t xml:space="preserve">where present, whereas the other layers have a range from</w:t>
      </w:r>
      <w:r>
        <w:t xml:space="preserve"> </w:t>
      </w:r>
      <w:r>
        <w:rPr>
          <w:rStyle w:val="VerbatimChar"/>
        </w:rPr>
        <w:t xml:space="preserve">0</w:t>
      </w:r>
      <w:r>
        <w:t xml:space="preserve"> </w:t>
      </w:r>
      <w:r>
        <w:t xml:space="preserve">to</w:t>
      </w:r>
      <w:r>
        <w:t xml:space="preserve"> </w:t>
      </w:r>
      <w:r>
        <w:rPr>
          <w:rStyle w:val="VerbatimChar"/>
        </w:rPr>
        <w:t xml:space="preserve">1</w:t>
      </w:r>
      <w:r>
        <w:t xml:space="preserve">.</w:t>
      </w:r>
    </w:p>
    <w:p>
      <w:pPr>
        <w:pStyle w:val="BodyText"/>
      </w:pPr>
      <w:r>
        <w:t xml:space="preserve">A naive weighting approach is taken in which all weights</w:t>
      </w:r>
      <w:r>
        <w:t xml:space="preserve"> </w:t>
      </w:r>
      <m:oMath>
        <m:r>
          <m:t>w</m:t>
        </m:r>
      </m:oMath>
      <w:r>
        <w:t xml:space="preserve"> </w:t>
      </w:r>
      <w:r>
        <w:t xml:space="preserve">are given an identity value of</w:t>
      </w:r>
      <w:r>
        <w:t xml:space="preserve"> </w:t>
      </w:r>
      <w:r>
        <w:rPr>
          <w:rStyle w:val="VerbatimChar"/>
        </w:rPr>
        <w:t xml:space="preserve">1</w:t>
      </w:r>
      <w:r>
        <w:t xml:space="preserve">. To allow different value sets among users, a useful future application would calculate new scores on the fly with a slider for weight value applicable to each of the layers.</w:t>
      </w:r>
    </w:p>
    <w:bookmarkEnd w:id="40"/>
    <w:bookmarkStart w:id="42" w:name="X3ad1ad50d261312e9f9911a972344135a941871"/>
    <w:p>
      <w:pPr>
        <w:pStyle w:val="Heading2"/>
      </w:pPr>
      <w:r>
        <w:t xml:space="preserve">3.5 Normalizing within Zone for Block Comparison</w:t>
      </w:r>
    </w:p>
    <w:p>
      <w:pPr>
        <w:pStyle w:val="FirstParagraph"/>
      </w:pPr>
      <w:r>
        <w:t xml:space="preserve">In order to evaluate conservation value within a given Zone, we normalized the score for each pixel by subtracting the Zone average (</w:t>
      </w:r>
      <m:oMath>
        <m:r>
          <m:t>μ</m:t>
        </m:r>
      </m:oMath>
      <w:r>
        <w:t xml:space="preserve">) and dividing by the standard deviation (</w:t>
      </w:r>
      <m:oMath>
        <m:r>
          <m:t>σ</m:t>
        </m:r>
      </m:oMath>
      <w:r>
        <w:t xml:space="preserve">) of the scores in the given Zone:</w:t>
      </w:r>
    </w:p>
    <w:p>
      <w:pPr>
        <w:pStyle w:val="BodyText"/>
      </w:pPr>
      <w:bookmarkStart w:id="41" w:name="eq-normalizing"/>
      <m:oMathPara>
        <m:oMathParaPr>
          <m:jc m:val="center"/>
        </m:oMathParaPr>
        <m:oMath>
          <m:m>
            <m:mPr>
              <m:baseJc m:val="center"/>
              <m:plcHide m:val="1"/>
              <m:mcs>
                <m:mc>
                  <m:mcPr>
                    <m:mcJc m:val="right"/>
                    <m:count m:val="1"/>
                  </m:mcPr>
                </m:mc>
              </m:mcs>
            </m:mPr>
            <m:mr>
              <m:e>
                <m:r>
                  <m:t>S</m:t>
                </m:r>
                <m:r>
                  <m:t>c</m:t>
                </m:r>
                <m:r>
                  <m:t>o</m:t>
                </m:r>
                <m:r>
                  <m:t>r</m:t>
                </m:r>
                <m:sSub>
                  <m:e>
                    <m:r>
                      <m:t>e</m:t>
                    </m:r>
                  </m:e>
                  <m:sub>
                    <m:r>
                      <m:t>n</m:t>
                    </m:r>
                    <m:r>
                      <m:t>o</m:t>
                    </m:r>
                    <m:r>
                      <m:t>r</m:t>
                    </m:r>
                    <m:r>
                      <m:t>m</m:t>
                    </m:r>
                    <m:r>
                      <m:t>a</m:t>
                    </m:r>
                    <m:r>
                      <m:t>l</m:t>
                    </m:r>
                    <m:r>
                      <m:t>i</m:t>
                    </m:r>
                    <m:r>
                      <m:t>z</m:t>
                    </m:r>
                    <m:r>
                      <m:t>e</m:t>
                    </m:r>
                    <m:r>
                      <m:t>d</m:t>
                    </m:r>
                    <m:r>
                      <m:t>Z</m:t>
                    </m:r>
                    <m:r>
                      <m:t>o</m:t>
                    </m:r>
                    <m:r>
                      <m:t>n</m:t>
                    </m:r>
                    <m:r>
                      <m:t>e</m:t>
                    </m:r>
                  </m:sub>
                </m:sSub>
                <m:r>
                  <m:rPr>
                    <m:sty m:val="p"/>
                  </m:rPr>
                  <m:t>=</m:t>
                </m:r>
                <m:d>
                  <m:dPr>
                    <m:begChr m:val="("/>
                    <m:endChr m:val=")"/>
                    <m:sepChr m:val=""/>
                    <m:grow/>
                  </m:dPr>
                  <m:e>
                    <m:r>
                      <m:t>S</m:t>
                    </m:r>
                    <m:r>
                      <m:t>c</m:t>
                    </m:r>
                    <m:r>
                      <m:t>o</m:t>
                    </m:r>
                    <m:r>
                      <m:t>r</m:t>
                    </m:r>
                    <m:r>
                      <m:t>e</m:t>
                    </m:r>
                    <m:r>
                      <m:rPr>
                        <m:sty m:val="p"/>
                      </m:rPr>
                      <m:t>−</m:t>
                    </m:r>
                    <m:r>
                      <m:t>μ</m:t>
                    </m:r>
                  </m:e>
                </m:d>
                <m:r>
                  <m:rPr>
                    <m:sty m:val="p"/>
                  </m:rPr>
                  <m:t>/</m:t>
                </m:r>
                <m:r>
                  <m:t>σ</m:t>
                </m:r>
              </m:e>
            </m:mr>
            <m:mr>
              <m:e>
                <m:r>
                  <m:t>w</m:t>
                </m:r>
                <m:r>
                  <m:t>h</m:t>
                </m:r>
                <m:r>
                  <m:t>e</m:t>
                </m:r>
                <m:r>
                  <m:t>r</m:t>
                </m:r>
                <m:r>
                  <m:t>e</m:t>
                </m:r>
                <m:r>
                  <m:rPr>
                    <m:sty m:val="p"/>
                  </m:rPr>
                  <m:t>:</m:t>
                </m:r>
              </m:e>
            </m:mr>
            <m:mr>
              <m:e>
                <m:r>
                  <m:t>μ</m:t>
                </m:r>
                <m:r>
                  <m:rPr>
                    <m:sty m:val="p"/>
                  </m:rPr>
                  <m:t>=</m:t>
                </m:r>
                <m:r>
                  <m:t>m</m:t>
                </m:r>
                <m:r>
                  <m:t>e</m:t>
                </m:r>
                <m:r>
                  <m:t>a</m:t>
                </m:r>
                <m:r>
                  <m:t>n</m:t>
                </m:r>
                <m:d>
                  <m:dPr>
                    <m:begChr m:val="("/>
                    <m:endChr m:val=")"/>
                    <m:sepChr m:val=""/>
                    <m:grow/>
                  </m:dPr>
                  <m:e>
                    <m:r>
                      <m:t>S</m:t>
                    </m:r>
                    <m:r>
                      <m:t>c</m:t>
                    </m:r>
                    <m:r>
                      <m:t>o</m:t>
                    </m:r>
                    <m:r>
                      <m:t>r</m:t>
                    </m:r>
                    <m:sSub>
                      <m:e>
                        <m:r>
                          <m:t>e</m:t>
                        </m:r>
                      </m:e>
                      <m:sub>
                        <m:r>
                          <m:t>Z</m:t>
                        </m:r>
                        <m:r>
                          <m:t>o</m:t>
                        </m:r>
                        <m:r>
                          <m:t>n</m:t>
                        </m:r>
                        <m:r>
                          <m:t>e</m:t>
                        </m:r>
                      </m:sub>
                    </m:sSub>
                  </m:e>
                </m:d>
              </m:e>
            </m:mr>
            <m:mr>
              <m:e>
                <m:r>
                  <m:t>σ</m:t>
                </m:r>
                <m:r>
                  <m:rPr>
                    <m:sty m:val="p"/>
                  </m:rPr>
                  <m:t>=</m:t>
                </m:r>
                <m:r>
                  <m:t>s</m:t>
                </m:r>
                <m:r>
                  <m:t>d</m:t>
                </m:r>
                <m:d>
                  <m:dPr>
                    <m:begChr m:val="("/>
                    <m:endChr m:val=")"/>
                    <m:sepChr m:val=""/>
                    <m:grow/>
                  </m:dPr>
                  <m:e>
                    <m:r>
                      <m:t>S</m:t>
                    </m:r>
                    <m:r>
                      <m:t>o</m:t>
                    </m:r>
                    <m:r>
                      <m:t>r</m:t>
                    </m:r>
                    <m:sSub>
                      <m:e>
                        <m:r>
                          <m:t>e</m:t>
                        </m:r>
                      </m:e>
                      <m:sub>
                        <m:r>
                          <m:t>Z</m:t>
                        </m:r>
                        <m:r>
                          <m:t>o</m:t>
                        </m:r>
                        <m:r>
                          <m:t>n</m:t>
                        </m:r>
                        <m:r>
                          <m:t>e</m:t>
                        </m:r>
                      </m:sub>
                    </m:sSub>
                  </m:e>
                </m:d>
              </m:e>
            </m:mr>
          </m:m>
          <m:r>
            <m:t>  </m:t>
          </m:r>
          <m:d>
            <m:dPr>
              <m:begChr m:val="("/>
              <m:endChr m:val=")"/>
              <m:sepChr m:val=""/>
              <m:grow/>
            </m:dPr>
            <m:e>
              <m:r>
                <m:t>3.2</m:t>
              </m:r>
            </m:e>
          </m:d>
        </m:oMath>
      </m:oMathPara>
      <w:bookmarkEnd w:id="41"/>
    </w:p>
    <w:bookmarkEnd w:id="42"/>
    <w:bookmarkEnd w:id="43"/>
    <w:bookmarkStart w:id="45" w:name="results"/>
    <w:p>
      <w:pPr>
        <w:pStyle w:val="Heading1"/>
      </w:pPr>
      <w:r>
        <w:t xml:space="preserve">4. Results</w:t>
      </w:r>
    </w:p>
    <w:p>
      <w:pPr>
        <w:pStyle w:val="FirstParagraph"/>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Species</w: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Habitats</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bottom w:val="single" w:sz="16" w:space="0" w:color="D3D3D3"/>
            </w:tcBorders>
          </w:tcPr>
          <w:p>
            <w:pPr>
              <w:spacing w:before="0" w:after="60"/>
              <w:keepNext/>
              <w:jc w:val="center"/>
            </w:pPr>
            <w:r>
              <w:rPr>
                <w:rFonts w:ascii="Calibri" w:hAnsi="Calibri"/>
                <w:sz w:val="20"/>
              </w:rPr>
              <w:t xml:space="default">Zone</w:t>
            </w:r>
          </w:p>
        </w:tc>
        <w:tc>
          <w:tcPr>
            <w:tcBorders>
              <w:bottom w:val="single" w:sz="16" w:space="0" w:color="D3D3D3"/>
            </w:tcBorders>
          </w:tcPr>
          <w:p>
            <w:pPr>
              <w:spacing w:before="0" w:after="60"/>
              <w:keepNext/>
              <w:jc w:val="end"/>
            </w:pPr>
            <w:r>
              <w:rPr>
                <w:rFonts w:ascii="Calibri" w:hAnsi="Calibri"/>
                <w:sz w:val="20"/>
              </w:rPr>
              <w:t xml:space="default">Score</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Richness</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Abundance</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Extinction Risk</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1º Productivity</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Hydrothermal Vents</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Seamounts</w:t>
            </w:r>
          </w:p>
        </w:tc>
        <w:tc>
          <w:tcPr>
            <w:tcBorders>
              <w:bottom w:val="single" w:sz="16" w:space="0" w:color="D3D3D3"/>
            </w:tcBorders>
          </w:tcPr>
          <w:p>
            <w:pPr>
              <w:spacing w:before="0" w:after="60"/>
              <w:keepNext/>
              <w:jc w:val="end"/>
            </w:pPr>
            <w:r>
              <w:rPr>
                <w:rFonts w:ascii="Calibri" w:hAnsi="Calibri"/>
                <w:sz w:val="20"/>
              </w:rPr>
              <w:t xml:space="default"/>
            </w:r>
          </w:p>
        </w:tc>
        <w:tc>
          <w:tcPr>
            <w:tcBorders>
              <w:bottom w:val="single" w:sz="16" w:space="0" w:color="D3D3D3"/>
            </w:tcBorders>
          </w:tcPr>
          <w:p>
            <w:pPr>
              <w:spacing w:before="0" w:after="60"/>
              <w:keepNext/>
              <w:jc w:val="end"/>
            </w:pPr>
            <w:r>
              <w:rPr>
                <w:rFonts w:ascii="Calibri" w:hAnsi="Calibri"/>
                <w:sz w:val="20"/>
              </w:rPr>
              <w:t xml:space="default">Area (km²)</w:t>
            </w:r>
          </w:p>
        </w:tc>
        <w:tc>
          <w:tcPr>
            <w:tcBorders>
              <w:bottom w:val="single" w:sz="16" w:space="0" w:color="D3D3D3"/>
              <w:end w:val="single" w:space="0" w:color="D3D3D3"/>
            </w:tcBorders>
          </w:tcPr>
          <w:p>
            <w:pPr>
              <w:spacing w:before="0" w:after="60"/>
              <w:keepNext/>
              <w:jc w:val="end"/>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shd w:val="clear" w:color="auto" w:fill="C9E99E"/>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1,840.1</w:t>
            </w:r>
          </w:p>
        </w:tc>
        <w:tc>
          <w:tcPr>
            <w:tcBorders>
              <w:top w:val="single" w:space="0" w:color="D3D3D3"/>
              <w:bottom w:val="single" w:space="0" w:color="D3D3D3"/>
              <w:start w:val="single" w:space="0" w:color="D3D3D3"/>
              <w:end w:val="single" w:space="0" w:color="D3D3D3"/>
            </w:tcBorders>
            <w:shd w:val="clear" w:color="auto" w:fill="BFE5A0"/>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126,838.2</w:t>
            </w:r>
          </w:p>
        </w:tc>
        <w:tc>
          <w:tcPr>
            <w:tcBorders>
              <w:top w:val="single" w:space="0" w:color="D3D3D3"/>
              <w:bottom w:val="single" w:space="0" w:color="D3D3D3"/>
              <w:start w:val="single" w:space="0" w:color="D3D3D3"/>
              <w:end w:val="single" w:space="0" w:color="D3D3D3"/>
            </w:tcBorders>
            <w:shd w:val="clear" w:color="auto" w:fill="A3D9A4"/>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8,542.5</w:t>
            </w:r>
          </w:p>
        </w:tc>
        <w:tc>
          <w:tcPr>
            <w:tcBorders>
              <w:top w:val="single" w:space="0" w:color="D3D3D3"/>
              <w:bottom w:val="single" w:space="0" w:color="D3D3D3"/>
              <w:start w:val="single" w:space="0" w:color="D3D3D3"/>
              <w:end w:val="single" w:space="0" w:color="D3D3D3"/>
            </w:tcBorders>
            <w:shd w:val="clear" w:color="auto" w:fill="F5FBA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777.9</w:t>
            </w:r>
          </w:p>
        </w:tc>
        <w:tc>
          <w:tcPr>
            <w:tcBorders>
              <w:top w:val="single" w:space="0" w:color="D3D3D3"/>
              <w:bottom w:val="single" w:space="0" w:color="D3D3D3"/>
              <w:start w:val="single" w:space="0" w:color="D3D3D3"/>
              <w:end w:val="single" w:space="0" w:color="D3D3D3"/>
            </w:tcBorders>
            <w:shd w:val="clear" w:color="auto" w:fill="FFF8B4"/>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866,082.4</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Mid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shd w:val="clear" w:color="auto" w:fill="83CCA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1,447.9</w:t>
            </w:r>
          </w:p>
        </w:tc>
        <w:tc>
          <w:tcPr>
            <w:tcBorders>
              <w:top w:val="single" w:space="0" w:color="D3D3D3"/>
              <w:bottom w:val="single" w:space="0" w:color="D3D3D3"/>
              <w:start w:val="single" w:space="0" w:color="D3D3D3"/>
              <w:end w:val="single" w:space="0" w:color="D3D3D3"/>
            </w:tcBorders>
            <w:shd w:val="clear" w:color="auto" w:fill="7DCAA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101,259.9</w:t>
            </w:r>
          </w:p>
        </w:tc>
        <w:tc>
          <w:tcPr>
            <w:tcBorders>
              <w:top w:val="single" w:space="0" w:color="D3D3D3"/>
              <w:bottom w:val="single" w:space="0" w:color="D3D3D3"/>
              <w:start w:val="single" w:space="0" w:color="D3D3D3"/>
              <w:end w:val="single" w:space="0" w:color="D3D3D3"/>
            </w:tcBorders>
            <w:shd w:val="clear" w:color="auto" w:fill="6DC4A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7,790.5</w:t>
            </w:r>
          </w:p>
        </w:tc>
        <w:tc>
          <w:tcPr>
            <w:tcBorders>
              <w:top w:val="single" w:space="0" w:color="D3D3D3"/>
              <w:bottom w:val="single" w:space="0" w:color="D3D3D3"/>
              <w:start w:val="single" w:space="0" w:color="D3D3D3"/>
              <w:end w:val="single" w:space="0" w:color="D3D3D3"/>
            </w:tcBorders>
            <w:shd w:val="clear" w:color="auto" w:fill="DFF29A"/>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588.0</w:t>
            </w:r>
          </w:p>
        </w:tc>
        <w:tc>
          <w:tcPr>
            <w:tcBorders>
              <w:top w:val="single" w:space="0" w:color="D3D3D3"/>
              <w:bottom w:val="single" w:space="0" w:color="D3D3D3"/>
              <w:start w:val="single" w:space="0" w:color="D3D3D3"/>
              <w:end w:val="single" w:space="0" w:color="D3D3D3"/>
            </w:tcBorders>
            <w:shd w:val="clear" w:color="auto" w:fill="84CDA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323,451.1</w:t>
            </w:r>
          </w:p>
        </w:tc>
        <w:tc>
          <w:tcPr>
            <w:tcBorders>
              <w:top w:val="single" w:space="0" w:color="D3D3D3"/>
              <w:bottom w:val="single" w:space="0" w:color="D3D3D3"/>
              <w:start w:val="single" w:space="0" w:color="D3D3D3"/>
              <w:end w:val="single" w:space="0" w:color="D3D3D3"/>
            </w:tcBorders>
            <w:shd w:val="clear" w:color="auto" w:fill="C6E89F"/>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North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shd w:val="clear" w:color="auto" w:fill="94D3A4"/>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1,507.5</w:t>
            </w:r>
          </w:p>
        </w:tc>
        <w:tc>
          <w:tcPr>
            <w:tcBorders>
              <w:top w:val="single" w:space="0" w:color="D3D3D3"/>
              <w:bottom w:val="single" w:space="0" w:color="D3D3D3"/>
              <w:start w:val="single" w:space="0" w:color="D3D3D3"/>
              <w:end w:val="single" w:space="0" w:color="D3D3D3"/>
            </w:tcBorders>
            <w:shd w:val="clear" w:color="auto" w:fill="88CEA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89,085.2</w:t>
            </w:r>
          </w:p>
        </w:tc>
        <w:tc>
          <w:tcPr>
            <w:tcBorders>
              <w:top w:val="single" w:space="0" w:color="D3D3D3"/>
              <w:bottom w:val="single" w:space="0" w:color="D3D3D3"/>
              <w:start w:val="single" w:space="0" w:color="D3D3D3"/>
              <w:end w:val="single" w:space="0" w:color="D3D3D3"/>
            </w:tcBorders>
            <w:shd w:val="clear" w:color="auto" w:fill="5CB1AD"/>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7,066.8</w:t>
            </w:r>
          </w:p>
        </w:tc>
        <w:tc>
          <w:tcPr>
            <w:tcBorders>
              <w:top w:val="single" w:space="0" w:color="D3D3D3"/>
              <w:bottom w:val="single" w:space="0" w:color="D3D3D3"/>
              <w:start w:val="single" w:space="0" w:color="D3D3D3"/>
              <w:end w:val="single" w:space="0" w:color="D3D3D3"/>
            </w:tcBorders>
            <w:shd w:val="clear" w:color="auto" w:fill="B6E1A2"/>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1,101.1</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306,210.9</w:t>
            </w:r>
          </w:p>
        </w:tc>
        <w:tc>
          <w:tcPr>
            <w:tcBorders>
              <w:top w:val="single" w:space="0" w:color="D3D3D3"/>
              <w:bottom w:val="single" w:space="0" w:color="D3D3D3"/>
              <w:start w:val="single" w:space="0" w:color="D3D3D3"/>
              <w:end w:val="single" w:space="0" w:color="D3D3D3"/>
            </w:tcBorders>
            <w:shd w:val="clear" w:color="auto" w:fill="BAE3A1"/>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South Atlantic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shd w:val="clear" w:color="auto" w:fill="FFF3AB"/>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2,507.6</w:t>
            </w:r>
          </w:p>
        </w:tc>
        <w:tc>
          <w:tcPr>
            <w:tcBorders>
              <w:top w:val="single" w:space="0" w:color="D3D3D3"/>
              <w:bottom w:val="single" w:space="0" w:color="D3D3D3"/>
              <w:start w:val="single" w:space="0" w:color="D3D3D3"/>
              <w:end w:val="single" w:space="0" w:color="D3D3D3"/>
            </w:tcBorders>
            <w:shd w:val="clear" w:color="auto" w:fill="FFFDBB"/>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182,516.7</w:t>
            </w:r>
          </w:p>
        </w:tc>
        <w:tc>
          <w:tcPr>
            <w:tcBorders>
              <w:top w:val="single" w:space="0" w:color="D3D3D3"/>
              <w:bottom w:val="single" w:space="0" w:color="D3D3D3"/>
              <w:start w:val="single" w:space="0" w:color="D3D3D3"/>
              <w:end w:val="single" w:space="0" w:color="D3D3D3"/>
            </w:tcBorders>
            <w:shd w:val="clear" w:color="auto" w:fill="F4FBAE"/>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10,984.1</w:t>
            </w:r>
          </w:p>
        </w:tc>
        <w:tc>
          <w:tcPr>
            <w:tcBorders>
              <w:top w:val="single" w:space="0" w:color="D3D3D3"/>
              <w:bottom w:val="single" w:space="0" w:color="D3D3D3"/>
              <w:start w:val="single" w:space="0" w:color="D3D3D3"/>
              <w:end w:val="single" w:space="0" w:color="D3D3D3"/>
            </w:tcBorders>
            <w:shd w:val="clear" w:color="auto" w:fill="FDB062"/>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655.6</w:t>
            </w:r>
          </w:p>
        </w:tc>
        <w:tc>
          <w:tcPr>
            <w:tcBorders>
              <w:top w:val="single" w:space="0" w:color="D3D3D3"/>
              <w:bottom w:val="single" w:space="0" w:color="D3D3D3"/>
              <w:start w:val="single" w:space="0" w:color="D3D3D3"/>
              <w:end w:val="single" w:space="0" w:color="D3D3D3"/>
            </w:tcBorders>
            <w:shd w:val="clear" w:color="auto" w:fill="C4E79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198,772.0</w:t>
            </w:r>
          </w:p>
        </w:tc>
        <w:tc>
          <w:tcPr>
            <w:tcBorders>
              <w:top w:val="single" w:space="0" w:color="D3D3D3"/>
              <w:bottom w:val="single" w:space="0" w:color="D3D3D3"/>
              <w:start w:val="single" w:space="0" w:color="D3D3D3"/>
              <w:end w:val="single" w:space="0" w:color="D3D3D3"/>
            </w:tcBorders>
            <w:shd w:val="clear" w:color="auto" w:fill="64BFA6"/>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Straits of Florida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4,391.2</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359,686.3</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14,115.1</w:t>
            </w:r>
          </w:p>
        </w:tc>
        <w:tc>
          <w:tcPr>
            <w:tcBorders>
              <w:top w:val="single" w:space="0" w:color="D3D3D3"/>
              <w:bottom w:val="single" w:space="0" w:color="D3D3D3"/>
              <w:start w:val="single" w:space="0" w:color="D3D3D3"/>
              <w:end w:val="single" w:space="0" w:color="D3D3D3"/>
            </w:tcBorders>
            <w:shd w:val="clear" w:color="auto" w:fill="9E014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37,648.4</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Gulf of Mexico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shd w:val="clear" w:color="auto" w:fill="FEFFBD"/>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2,468.8</w:t>
            </w:r>
          </w:p>
        </w:tc>
        <w:tc>
          <w:tcPr>
            <w:tcBorders>
              <w:top w:val="single" w:space="0" w:color="D3D3D3"/>
              <w:bottom w:val="single" w:space="0" w:color="D3D3D3"/>
              <w:start w:val="single" w:space="0" w:color="D3D3D3"/>
              <w:end w:val="single" w:space="0" w:color="D3D3D3"/>
            </w:tcBorders>
            <w:shd w:val="clear" w:color="auto" w:fill="FEFFBE"/>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176,382.8</w:t>
            </w:r>
          </w:p>
        </w:tc>
        <w:tc>
          <w:tcPr>
            <w:tcBorders>
              <w:top w:val="single" w:space="0" w:color="D3D3D3"/>
              <w:bottom w:val="single" w:space="0" w:color="D3D3D3"/>
              <w:start w:val="single" w:space="0" w:color="D3D3D3"/>
              <w:end w:val="single" w:space="0" w:color="D3D3D3"/>
            </w:tcBorders>
            <w:shd w:val="clear" w:color="auto" w:fill="F0F9A7"/>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9,313.6</w:t>
            </w:r>
          </w:p>
        </w:tc>
        <w:tc>
          <w:tcPr>
            <w:tcBorders>
              <w:top w:val="single" w:space="0" w:color="D3D3D3"/>
              <w:bottom w:val="single" w:space="0" w:color="D3D3D3"/>
              <w:start w:val="single" w:space="0" w:color="D3D3D3"/>
              <w:end w:val="single" w:space="0" w:color="D3D3D3"/>
            </w:tcBorders>
            <w:shd w:val="clear" w:color="auto" w:fill="FFF4AD"/>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815.1</w:t>
            </w:r>
          </w:p>
        </w:tc>
        <w:tc>
          <w:tcPr>
            <w:tcBorders>
              <w:top w:val="single" w:space="0" w:color="D3D3D3"/>
              <w:bottom w:val="single" w:space="0" w:color="D3D3D3"/>
              <w:start w:val="single" w:space="0" w:color="D3D3D3"/>
              <w:end w:val="single" w:space="0" w:color="D3D3D3"/>
            </w:tcBorders>
            <w:shd w:val="clear" w:color="auto" w:fill="FFE797"/>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627,105.6</w:t>
            </w:r>
          </w:p>
        </w:tc>
        <w:tc>
          <w:tcPr>
            <w:tcBorders>
              <w:top w:val="single" w:space="0" w:color="D3D3D3"/>
              <w:bottom w:val="single" w:space="0" w:color="D3D3D3"/>
              <w:start w:val="single" w:space="0" w:color="D3D3D3"/>
              <w:end w:val="single" w:space="0" w:color="D3D3D3"/>
            </w:tcBorders>
            <w:shd w:val="clear" w:color="auto" w:fill="FCA75D"/>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Gulf of Mexico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Central Gulf of 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w:t>
            </w:r>
          </w:p>
        </w:tc>
        <w:tc>
          <w:tcPr>
            <w:tcBorders>
              <w:top w:val="single" w:space="0" w:color="D3D3D3"/>
              <w:bottom w:val="single" w:space="0" w:color="D3D3D3"/>
              <w:start w:val="single" w:space="0" w:color="D3D3D3"/>
              <w:end w:val="single" w:space="0" w:color="D3D3D3"/>
            </w:tcBorders>
            <w:shd w:val="clear" w:color="auto" w:fill="C3E6A0"/>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1,878.9</w:t>
            </w:r>
          </w:p>
        </w:tc>
        <w:tc>
          <w:tcPr>
            <w:tcBorders>
              <w:top w:val="single" w:space="0" w:color="D3D3D3"/>
              <w:bottom w:val="single" w:space="0" w:color="D3D3D3"/>
              <w:start w:val="single" w:space="0" w:color="D3D3D3"/>
              <w:end w:val="single" w:space="0" w:color="D3D3D3"/>
            </w:tcBorders>
            <w:shd w:val="clear" w:color="auto" w:fill="C5E79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126,988.5</w:t>
            </w:r>
          </w:p>
        </w:tc>
        <w:tc>
          <w:tcPr>
            <w:tcBorders>
              <w:top w:val="single" w:space="0" w:color="D3D3D3"/>
              <w:bottom w:val="single" w:space="0" w:color="D3D3D3"/>
              <w:start w:val="single" w:space="0" w:color="D3D3D3"/>
              <w:end w:val="single" w:space="0" w:color="D3D3D3"/>
            </w:tcBorders>
            <w:shd w:val="clear" w:color="auto" w:fill="A3D9A4"/>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7,549.6</w:t>
            </w:r>
          </w:p>
        </w:tc>
        <w:tc>
          <w:tcPr>
            <w:tcBorders>
              <w:top w:val="single" w:space="0" w:color="D3D3D3"/>
              <w:bottom w:val="single" w:space="0" w:color="D3D3D3"/>
              <w:start w:val="single" w:space="0" w:color="D3D3D3"/>
              <w:end w:val="single" w:space="0" w:color="D3D3D3"/>
            </w:tcBorders>
            <w:shd w:val="clear" w:color="auto" w:fill="D1EC9D"/>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911.9</w:t>
            </w:r>
          </w:p>
        </w:tc>
        <w:tc>
          <w:tcPr>
            <w:tcBorders>
              <w:top w:val="single" w:space="0" w:color="D3D3D3"/>
              <w:bottom w:val="single" w:space="0" w:color="D3D3D3"/>
              <w:start w:val="single" w:space="0" w:color="D3D3D3"/>
              <w:end w:val="single" w:space="0" w:color="D3D3D3"/>
            </w:tcBorders>
            <w:shd w:val="clear" w:color="auto" w:fill="FCA25B"/>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257,622.8</w:t>
            </w:r>
          </w:p>
        </w:tc>
        <w:tc>
          <w:tcPr>
            <w:tcBorders>
              <w:top w:val="single" w:space="0" w:color="D3D3D3"/>
              <w:bottom w:val="single" w:space="0" w:color="D3D3D3"/>
              <w:start w:val="single" w:space="0" w:color="D3D3D3"/>
              <w:end w:val="single" w:space="0" w:color="D3D3D3"/>
            </w:tcBorders>
            <w:shd w:val="clear" w:color="auto" w:fill="95D4A4"/>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Gulf of Mexico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Eastern Gulf of 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shd w:val="clear" w:color="auto" w:fill="FED581"/>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2,923.2</w:t>
            </w:r>
          </w:p>
        </w:tc>
        <w:tc>
          <w:tcPr>
            <w:tcBorders>
              <w:top w:val="single" w:space="0" w:color="D3D3D3"/>
              <w:bottom w:val="single" w:space="0" w:color="D3D3D3"/>
              <w:start w:val="single" w:space="0" w:color="D3D3D3"/>
              <w:end w:val="single" w:space="0" w:color="D3D3D3"/>
            </w:tcBorders>
            <w:shd w:val="clear" w:color="auto" w:fill="FED884"/>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215,881.9</w:t>
            </w:r>
          </w:p>
        </w:tc>
        <w:tc>
          <w:tcPr>
            <w:tcBorders>
              <w:top w:val="single" w:space="0" w:color="D3D3D3"/>
              <w:bottom w:val="single" w:space="0" w:color="D3D3D3"/>
              <w:start w:val="single" w:space="0" w:color="D3D3D3"/>
              <w:end w:val="single" w:space="0" w:color="D3D3D3"/>
            </w:tcBorders>
            <w:shd w:val="clear" w:color="auto" w:fill="FFEDA0"/>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11,054.2</w:t>
            </w:r>
          </w:p>
        </w:tc>
        <w:tc>
          <w:tcPr>
            <w:tcBorders>
              <w:top w:val="single" w:space="0" w:color="D3D3D3"/>
              <w:bottom w:val="single" w:space="0" w:color="D3D3D3"/>
              <w:start w:val="single" w:space="0" w:color="D3D3D3"/>
              <w:end w:val="single" w:space="0" w:color="D3D3D3"/>
            </w:tcBorders>
            <w:shd w:val="clear" w:color="auto" w:fill="FDAC60"/>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672.4</w:t>
            </w:r>
          </w:p>
        </w:tc>
        <w:tc>
          <w:tcPr>
            <w:tcBorders>
              <w:top w:val="single" w:space="0" w:color="D3D3D3"/>
              <w:bottom w:val="single" w:space="0" w:color="D3D3D3"/>
              <w:start w:val="single" w:space="0" w:color="D3D3D3"/>
              <w:end w:val="single" w:space="0" w:color="D3D3D3"/>
            </w:tcBorders>
            <w:shd w:val="clear" w:color="auto" w:fill="D2ED9C"/>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254,654.9</w:t>
            </w:r>
          </w:p>
        </w:tc>
        <w:tc>
          <w:tcPr>
            <w:tcBorders>
              <w:top w:val="single" w:space="0" w:color="D3D3D3"/>
              <w:bottom w:val="single" w:space="0" w:color="D3D3D3"/>
              <w:start w:val="single" w:space="0" w:color="D3D3D3"/>
              <w:end w:val="single" w:space="0" w:color="D3D3D3"/>
            </w:tcBorders>
            <w:shd w:val="clear" w:color="auto" w:fill="93D3A5"/>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Gulf of Mexico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Western Gulf of 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shd w:val="clear" w:color="auto" w:fill="FFE99B"/>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2,784.5</w:t>
            </w:r>
          </w:p>
        </w:tc>
        <w:tc>
          <w:tcPr>
            <w:tcBorders>
              <w:top w:val="single" w:space="0" w:color="D3D3D3"/>
              <w:bottom w:val="single" w:space="0" w:color="D3D3D3"/>
              <w:start w:val="single" w:space="0" w:color="D3D3D3"/>
              <w:end w:val="single" w:space="0" w:color="D3D3D3"/>
            </w:tcBorders>
            <w:shd w:val="clear" w:color="auto" w:fill="FFE696"/>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199,604.4</w:t>
            </w:r>
          </w:p>
        </w:tc>
        <w:tc>
          <w:tcPr>
            <w:tcBorders>
              <w:top w:val="single" w:space="0" w:color="D3D3D3"/>
              <w:bottom w:val="single" w:space="0" w:color="D3D3D3"/>
              <w:start w:val="single" w:space="0" w:color="D3D3D3"/>
              <w:end w:val="single" w:space="0" w:color="D3D3D3"/>
            </w:tcBorders>
            <w:shd w:val="clear" w:color="auto" w:fill="FFFCBA"/>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9,410.9</w:t>
            </w:r>
          </w:p>
        </w:tc>
        <w:tc>
          <w:tcPr>
            <w:tcBorders>
              <w:top w:val="single" w:space="0" w:color="D3D3D3"/>
              <w:bottom w:val="single" w:space="0" w:color="D3D3D3"/>
              <w:start w:val="single" w:space="0" w:color="D3D3D3"/>
              <w:end w:val="single" w:space="0" w:color="D3D3D3"/>
            </w:tcBorders>
            <w:shd w:val="clear" w:color="auto" w:fill="FFF1A8"/>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914.2</w:t>
            </w:r>
          </w:p>
        </w:tc>
        <w:tc>
          <w:tcPr>
            <w:tcBorders>
              <w:top w:val="single" w:space="0" w:color="D3D3D3"/>
              <w:bottom w:val="single" w:space="0" w:color="D3D3D3"/>
              <w:start w:val="single" w:space="0" w:color="D3D3D3"/>
              <w:end w:val="single" w:space="0" w:color="D3D3D3"/>
            </w:tcBorders>
            <w:shd w:val="clear" w:color="auto" w:fill="FCA05A"/>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114,827.9</w:t>
            </w:r>
          </w:p>
        </w:tc>
        <w:tc>
          <w:tcPr>
            <w:tcBorders>
              <w:top w:val="single" w:space="0" w:color="D3D3D3"/>
              <w:bottom w:val="single" w:space="0" w:color="D3D3D3"/>
              <w:start w:val="single" w:space="0" w:color="D3D3D3"/>
              <w:end w:val="single" w:space="0" w:color="D3D3D3"/>
            </w:tcBorders>
            <w:shd w:val="clear" w:color="auto" w:fill="3884BB"/>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shd w:val="clear" w:color="auto" w:fill="5565AC"/>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698.6</w:t>
            </w:r>
          </w:p>
        </w:tc>
        <w:tc>
          <w:tcPr>
            <w:tcBorders>
              <w:top w:val="single" w:space="0" w:color="D3D3D3"/>
              <w:bottom w:val="single" w:space="0" w:color="D3D3D3"/>
              <w:start w:val="single" w:space="0" w:color="D3D3D3"/>
              <w:end w:val="single" w:space="0" w:color="D3D3D3"/>
            </w:tcBorders>
            <w:shd w:val="clear" w:color="auto" w:fill="5663AB"/>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42,241.0</w:t>
            </w:r>
          </w:p>
        </w:tc>
        <w:tc>
          <w:tcPr>
            <w:tcBorders>
              <w:top w:val="single" w:space="0" w:color="D3D3D3"/>
              <w:bottom w:val="single" w:space="0" w:color="D3D3D3"/>
              <w:start w:val="single" w:space="0" w:color="D3D3D3"/>
              <w:end w:val="single" w:space="0" w:color="D3D3D3"/>
            </w:tcBorders>
            <w:shd w:val="clear" w:color="auto" w:fill="585FA9"/>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4,428.1</w:t>
            </w:r>
          </w:p>
        </w:tc>
        <w:tc>
          <w:tcPr>
            <w:tcBorders>
              <w:top w:val="single" w:space="0" w:color="D3D3D3"/>
              <w:bottom w:val="single" w:space="0" w:color="D3D3D3"/>
              <w:start w:val="single" w:space="0" w:color="D3D3D3"/>
              <w:end w:val="single" w:space="0" w:color="D3D3D3"/>
            </w:tcBorders>
            <w:shd w:val="clear" w:color="auto" w:fill="4B73B3"/>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922.0</w:t>
            </w:r>
          </w:p>
        </w:tc>
        <w:tc>
          <w:tcPr>
            <w:tcBorders>
              <w:top w:val="single" w:space="0" w:color="D3D3D3"/>
              <w:bottom w:val="single" w:space="0" w:color="D3D3D3"/>
              <w:start w:val="single" w:space="0" w:color="D3D3D3"/>
              <w:end w:val="single" w:space="0" w:color="D3D3D3"/>
            </w:tcBorders>
            <w:shd w:val="clear" w:color="auto" w:fill="FB9856"/>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794,098.2</w:t>
            </w:r>
          </w:p>
        </w:tc>
        <w:tc>
          <w:tcPr>
            <w:tcBorders>
              <w:top w:val="single" w:space="0" w:color="D3D3D3"/>
              <w:bottom w:val="single" w:space="0" w:color="D3D3D3"/>
              <w:start w:val="single" w:space="0" w:color="D3D3D3"/>
              <w:end w:val="single" w:space="0" w:color="D3D3D3"/>
            </w:tcBorders>
            <w:shd w:val="clear" w:color="auto" w:fill="CE384D"/>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Central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shd w:val="clear" w:color="auto" w:fill="5C55A5"/>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569.2</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33,341.2</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3,935.6</w:t>
            </w:r>
          </w:p>
        </w:tc>
        <w:tc>
          <w:tcPr>
            <w:tcBorders>
              <w:top w:val="single" w:space="0" w:color="D3D3D3"/>
              <w:bottom w:val="single" w:space="0" w:color="D3D3D3"/>
              <w:start w:val="single" w:space="0" w:color="D3D3D3"/>
              <w:end w:val="single" w:space="0" w:color="D3D3D3"/>
            </w:tcBorders>
            <w:shd w:val="clear" w:color="auto" w:fill="5B57A6"/>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w:t>
            </w:r>
          </w:p>
        </w:tc>
        <w:tc>
          <w:tcPr>
            <w:tcBorders>
              <w:top w:val="single" w:space="0" w:color="D3D3D3"/>
              <w:bottom w:val="single" w:space="0" w:color="D3D3D3"/>
              <w:start w:val="single" w:space="0" w:color="D3D3D3"/>
              <w:end w:val="single" w:space="0" w:color="D3D3D3"/>
            </w:tcBorders>
            <w:shd w:val="clear" w:color="auto" w:fill="CA354D"/>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143,978.4</w:t>
            </w:r>
          </w:p>
        </w:tc>
        <w:tc>
          <w:tcPr>
            <w:tcBorders>
              <w:top w:val="single" w:space="0" w:color="D3D3D3"/>
              <w:bottom w:val="single" w:space="0" w:color="D3D3D3"/>
              <w:start w:val="single" w:space="0" w:color="D3D3D3"/>
              <w:end w:val="single" w:space="0" w:color="D3D3D3"/>
            </w:tcBorders>
            <w:shd w:val="clear" w:color="auto" w:fill="4798B7"/>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Northern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638.4</w:t>
            </w:r>
          </w:p>
        </w:tc>
        <w:tc>
          <w:tcPr>
            <w:tcBorders>
              <w:top w:val="single" w:space="0" w:color="D3D3D3"/>
              <w:bottom w:val="single" w:space="0" w:color="D3D3D3"/>
              <w:start w:val="single" w:space="0" w:color="D3D3D3"/>
              <w:end w:val="single" w:space="0" w:color="D3D3D3"/>
            </w:tcBorders>
            <w:shd w:val="clear" w:color="auto" w:fill="5A5AA7"/>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37,967.7</w:t>
            </w:r>
          </w:p>
        </w:tc>
        <w:tc>
          <w:tcPr>
            <w:tcBorders>
              <w:top w:val="single" w:space="0" w:color="D3D3D3"/>
              <w:bottom w:val="single" w:space="0" w:color="D3D3D3"/>
              <w:start w:val="single" w:space="0" w:color="D3D3D3"/>
              <w:end w:val="single" w:space="0" w:color="D3D3D3"/>
            </w:tcBorders>
            <w:shd w:val="clear" w:color="auto" w:fill="5B58A6"/>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3,955.9</w:t>
            </w:r>
          </w:p>
        </w:tc>
        <w:tc>
          <w:tcPr>
            <w:tcBorders>
              <w:top w:val="single" w:space="0" w:color="D3D3D3"/>
              <w:bottom w:val="single" w:space="0" w:color="D3D3D3"/>
              <w:start w:val="single" w:space="0" w:color="D3D3D3"/>
              <w:end w:val="single" w:space="0" w:color="D3D3D3"/>
            </w:tcBorders>
            <w:shd w:val="clear" w:color="auto" w:fill="5B59A6"/>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810.0</w:t>
            </w:r>
          </w:p>
        </w:tc>
        <w:tc>
          <w:tcPr>
            <w:tcBorders>
              <w:top w:val="single" w:space="0" w:color="D3D3D3"/>
              <w:bottom w:val="single" w:space="0" w:color="D3D3D3"/>
              <w:start w:val="single" w:space="0" w:color="D3D3D3"/>
              <w:end w:val="single" w:space="0" w:color="D3D3D3"/>
            </w:tcBorders>
            <w:shd w:val="clear" w:color="auto" w:fill="FFE99B"/>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138,500.5</w:t>
            </w:r>
          </w:p>
        </w:tc>
        <w:tc>
          <w:tcPr>
            <w:tcBorders>
              <w:top w:val="single" w:space="0" w:color="D3D3D3"/>
              <w:bottom w:val="single" w:space="0" w:color="D3D3D3"/>
              <w:start w:val="single" w:space="0" w:color="D3D3D3"/>
              <w:end w:val="single" w:space="0" w:color="D3D3D3"/>
            </w:tcBorders>
            <w:shd w:val="clear" w:color="auto" w:fill="4394B8"/>
          </w:tcPr>
          <w:p>
            <w:pPr>
              <w:spacing w:before="0" w:after="60"/>
              <w:keepNext/>
              <w:jc w:val="end"/>
            </w:pPr>
            <w:r>
              <w:rPr>
                <w:rFonts w:ascii="Calibri" w:hAnsi="Calibri"/>
                <w:sz w:val="20"/>
                <w:color w:val="FFFFFF"/>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Southern California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shd w:val="clear" w:color="auto" w:fill="3A83BA"/>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806.6</w:t>
            </w:r>
          </w:p>
        </w:tc>
        <w:tc>
          <w:tcPr>
            <w:tcBorders>
              <w:top w:val="single" w:space="0" w:color="D3D3D3"/>
              <w:bottom w:val="single" w:space="0" w:color="D3D3D3"/>
              <w:start w:val="single" w:space="0" w:color="D3D3D3"/>
              <w:end w:val="single" w:space="0" w:color="D3D3D3"/>
            </w:tcBorders>
            <w:shd w:val="clear" w:color="auto" w:fill="4B73B3"/>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52,071.2</w:t>
            </w:r>
          </w:p>
        </w:tc>
        <w:tc>
          <w:tcPr>
            <w:tcBorders>
              <w:top w:val="single" w:space="0" w:color="D3D3D3"/>
              <w:bottom w:val="single" w:space="0" w:color="D3D3D3"/>
              <w:start w:val="single" w:space="0" w:color="D3D3D3"/>
              <w:end w:val="single" w:space="0" w:color="D3D3D3"/>
            </w:tcBorders>
            <w:shd w:val="clear" w:color="auto" w:fill="4D70B1"/>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5,465.5</w:t>
            </w:r>
          </w:p>
        </w:tc>
        <w:tc>
          <w:tcPr>
            <w:tcBorders>
              <w:top w:val="single" w:space="0" w:color="D3D3D3"/>
              <w:bottom w:val="single" w:space="0" w:color="D3D3D3"/>
              <w:start w:val="single" w:space="0" w:color="D3D3D3"/>
              <w:end w:val="single" w:space="0" w:color="D3D3D3"/>
            </w:tcBorders>
            <w:shd w:val="clear" w:color="auto" w:fill="58ACAF"/>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938.6</w:t>
            </w:r>
          </w:p>
        </w:tc>
        <w:tc>
          <w:tcPr>
            <w:tcBorders>
              <w:top w:val="single" w:space="0" w:color="D3D3D3"/>
              <w:bottom w:val="single" w:space="0" w:color="D3D3D3"/>
              <w:start w:val="single" w:space="0" w:color="D3D3D3"/>
              <w:end w:val="single" w:space="0" w:color="D3D3D3"/>
            </w:tcBorders>
            <w:shd w:val="clear" w:color="auto" w:fill="F8894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shd w:val="clear" w:color="auto" w:fill="808080"/>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275,850.4</w:t>
            </w:r>
          </w:p>
        </w:tc>
        <w:tc>
          <w:tcPr>
            <w:tcBorders>
              <w:top w:val="single" w:space="0" w:color="D3D3D3"/>
              <w:bottom w:val="single" w:space="0" w:color="D3D3D3"/>
              <w:start w:val="single" w:space="0" w:color="D3D3D3"/>
              <w:end w:val="single" w:space="0" w:color="D3D3D3"/>
            </w:tcBorders>
            <w:shd w:val="clear" w:color="auto" w:fill="A3DAA4"/>
          </w:tcPr>
          <w:p>
            <w:pPr>
              <w:spacing w:before="0" w:after="60"/>
              <w:keepNext/>
              <w:jc w:val="end"/>
            </w:pPr>
            <w:r>
              <w:rPr>
                <w:rFonts w:ascii="Calibri" w:hAnsi="Calibri"/>
                <w:sz w:val="20"/>
                <w:color w:val="00000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Washington/Oregon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shd w:val="clear" w:color="auto" w:fill="5C56A5"/>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686.6</w:t>
            </w:r>
          </w:p>
        </w:tc>
        <w:tc>
          <w:tcPr>
            <w:tcBorders>
              <w:top w:val="single" w:space="0" w:color="D3D3D3"/>
              <w:bottom w:val="single" w:space="0" w:color="D3D3D3"/>
              <w:start w:val="single" w:space="0" w:color="D3D3D3"/>
              <w:end w:val="single" w:space="0" w:color="D3D3D3"/>
            </w:tcBorders>
            <w:shd w:val="clear" w:color="auto" w:fill="5761AA"/>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38,685.0</w:t>
            </w:r>
          </w:p>
        </w:tc>
        <w:tc>
          <w:tcPr>
            <w:tcBorders>
              <w:top w:val="single" w:space="0" w:color="D3D3D3"/>
              <w:bottom w:val="single" w:space="0" w:color="D3D3D3"/>
              <w:start w:val="single" w:space="0" w:color="D3D3D3"/>
              <w:end w:val="single" w:space="0" w:color="D3D3D3"/>
            </w:tcBorders>
            <w:shd w:val="clear" w:color="auto" w:fill="5A59A6"/>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3,792.6</w:t>
            </w:r>
          </w:p>
        </w:tc>
        <w:tc>
          <w:tcPr>
            <w:tcBorders>
              <w:top w:val="single" w:space="0" w:color="D3D3D3"/>
              <w:bottom w:val="single" w:space="0" w:color="D3D3D3"/>
              <w:start w:val="single" w:space="0" w:color="D3D3D3"/>
              <w:end w:val="single" w:space="0" w:color="D3D3D3"/>
            </w:tcBorders>
            <w:shd w:val="clear" w:color="auto" w:fill="5E4FA2"/>
          </w:tcPr>
          <w:p>
            <w:pPr>
              <w:spacing w:before="0" w:after="60"/>
              <w:keepNext/>
              <w:jc w:val="end"/>
            </w:pPr>
            <w:r>
              <w:rPr>
                <w:rFonts w:ascii="Calibri" w:hAnsi="Calibri"/>
                <w:sz w:val="20"/>
                <w:color w:val="FFFFFF"/>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892.2</w:t>
            </w:r>
          </w:p>
        </w:tc>
        <w:tc>
          <w:tcPr>
            <w:tcBorders>
              <w:top w:val="single" w:space="0" w:color="D3D3D3"/>
              <w:bottom w:val="single" w:space="0" w:color="D3D3D3"/>
              <w:start w:val="single" w:space="0" w:color="D3D3D3"/>
              <w:end w:val="single" w:space="0" w:color="D3D3D3"/>
            </w:tcBorders>
            <w:shd w:val="clear" w:color="auto" w:fill="FDB365"/>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shd w:val="clear" w:color="auto" w:fill="FFFFBF"/>
          </w:tcPr>
          <w:p>
            <w:pPr>
              <w:spacing w:before="0" w:after="60"/>
              <w:keepNext/>
              <w:jc w:val="end"/>
            </w:pPr>
            <w:r>
              <w:rPr>
                <w:rFonts w:ascii="Calibri" w:hAnsi="Calibri"/>
                <w:sz w:val="20"/>
                <w:color w:val="00000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235,768.9</w:t>
            </w:r>
          </w:p>
        </w:tc>
        <w:tc>
          <w:tcPr>
            <w:tcBorders>
              <w:top w:val="single" w:space="0" w:color="D3D3D3"/>
              <w:bottom w:val="single" w:space="0" w:color="D3D3D3"/>
              <w:start w:val="single" w:space="0" w:color="D3D3D3"/>
              <w:end w:val="single" w:space="0" w:color="D3D3D3"/>
            </w:tcBorders>
            <w:shd w:val="clear" w:color="auto" w:fill="83CDA5"/>
          </w:tcPr>
          <w:p>
            <w:pPr>
              <w:spacing w:before="0" w:after="60"/>
              <w:keepNext/>
              <w:jc w:val="end"/>
            </w:pPr>
            <w:r>
              <w:rPr>
                <w:rFonts w:ascii="Calibri" w:hAnsi="Calibri"/>
                <w:sz w:val="20"/>
                <w:color w:val="000000"/>
              </w:rPr>
              <w:t xml:space="default"/>
            </w:r>
          </w:p>
        </w:tc>
      </w:tr>
    </w:tbl>
    <w:p>
      <w:pPr>
        <w:pStyle w:val="BodyText"/>
      </w:pPr>
      <w:r>
        <w:t xml:space="preserve">[TODO: format table as Calibri size 8. R-click: Insert caption, borders, merge cells, swap state codes like example.</w:t>
      </w:r>
    </w:p>
    <w:p>
      <w:pPr>
        <w:pStyle w:val="BodyText"/>
      </w:pPr>
      <w:r>
        <w:t xml:space="preserve">Table [tbl-zones]. Average pixel values across Regions and Zones for overall Score as well as input layers. Values are colored per column highest to lowest: red, orange, yellow, green, blue, violet. Sortable table is</w:t>
      </w:r>
      <w:r>
        <w:t xml:space="preserve"> </w:t>
      </w:r>
      <w:hyperlink r:id="rId44">
        <w:r>
          <w:rPr>
            <w:rStyle w:val="Hyperlink"/>
          </w:rPr>
          <w:t xml:space="preserve">online</w:t>
        </w:r>
      </w:hyperlink>
      <w:r>
        <w:t xml:space="preserve">.</w:t>
      </w:r>
      <w:r>
        <w:t xml:space="preserve"> </w:t>
      </w:r>
      <w:r>
        <w:t xml:space="preserve">]</w:t>
      </w:r>
    </w:p>
    <w:p>
      <w:pPr>
        <w:pStyle w:val="BodyText"/>
      </w:pPr>
      <w:r>
        <w:t xml:space="preserve">See</w:t>
      </w:r>
      <w:r>
        <w:t xml:space="preserve"> </w:t>
      </w:r>
      <w:hyperlink w:anchor="tbl-zones">
        <w:r>
          <w:rPr>
            <w:rStyle w:val="Hyperlink"/>
          </w:rPr>
          <w:t xml:space="preserve">Table [tbl-zones]</w:t>
        </w:r>
      </w:hyperlink>
      <w:r>
        <w:t xml:space="preserve">.</w:t>
      </w:r>
    </w:p>
    <w:bookmarkEnd w:id="45"/>
    <w:bookmarkStart w:id="46" w:name="discussion"/>
    <w:p>
      <w:pPr>
        <w:pStyle w:val="Heading1"/>
      </w:pPr>
      <w:r>
        <w:t xml:space="preserve">5. Discussion</w:t>
      </w:r>
    </w:p>
    <w:p>
      <w:pPr>
        <w:pStyle w:val="FirstParagraph"/>
      </w:pPr>
      <w:r>
        <w:t xml:space="preserve">…</w:t>
      </w:r>
    </w:p>
    <w:bookmarkEnd w:id="46"/>
    <w:bookmarkStart w:id="58" w:name="references"/>
    <w:p>
      <w:pPr>
        <w:pStyle w:val="Heading1"/>
      </w:pPr>
      <w:r>
        <w:t xml:space="preserve">References</w:t>
      </w:r>
    </w:p>
    <w:bookmarkStart w:id="57" w:name="refs"/>
    <w:bookmarkStart w:id="47" w:name="X36403a9c894ab5708244831406f642352dd033b"/>
    <w:p>
      <w:pPr>
        <w:pStyle w:val="Bibliography"/>
      </w:pPr>
      <w:r>
        <w:t xml:space="preserve">Friedland, Kevin D., Elizabeth T. Methratta, Andrew B. Gill, Sarah K. Gaichas, Tobey H. Curtis, Evan M. Adams, Janelle L. Morano, Daniel P. Crear, M. Conor McManus, and Damian C. Brady. 2021.</w:t>
      </w:r>
      <w:r>
        <w:t xml:space="preserve"> </w:t>
      </w:r>
      <w:r>
        <w:t xml:space="preserve">“Resource</w:t>
      </w:r>
      <w:r>
        <w:t xml:space="preserve"> </w:t>
      </w:r>
      <w:r>
        <w:t xml:space="preserve">Occurrence</w:t>
      </w:r>
      <w:r>
        <w:t xml:space="preserve"> </w:t>
      </w:r>
      <w:r>
        <w:t xml:space="preserve">and</w:t>
      </w:r>
      <w:r>
        <w:t xml:space="preserve"> </w:t>
      </w:r>
      <w:r>
        <w:t xml:space="preserve">Productivity</w:t>
      </w:r>
      <w:r>
        <w:t xml:space="preserve"> </w:t>
      </w:r>
      <w:r>
        <w:t xml:space="preserve">in</w:t>
      </w:r>
      <w:r>
        <w:t xml:space="preserve"> </w:t>
      </w:r>
      <w:r>
        <w:t xml:space="preserve">Existing</w:t>
      </w:r>
      <w:r>
        <w:t xml:space="preserve"> </w:t>
      </w:r>
      <w:r>
        <w:t xml:space="preserve">and</w:t>
      </w:r>
      <w:r>
        <w:t xml:space="preserve"> </w:t>
      </w:r>
      <w:r>
        <w:t xml:space="preserve">Proposed Wind Energy Lease Areas</w:t>
      </w:r>
      <w:r>
        <w:t xml:space="preserve"> </w:t>
      </w:r>
      <w:r>
        <w:t xml:space="preserve">on the</w:t>
      </w:r>
      <w:r>
        <w:t xml:space="preserve"> </w:t>
      </w:r>
      <w:r>
        <w:t xml:space="preserve">Northeast US Shelf</w:t>
      </w:r>
      <w:r>
        <w:t xml:space="preserve">.”</w:t>
      </w:r>
      <w:r>
        <w:t xml:space="preserve"> </w:t>
      </w:r>
      <w:r>
        <w:rPr>
          <w:iCs/>
          <w:i/>
        </w:rPr>
        <w:t xml:space="preserve">Frontiers in Marine Science</w:t>
      </w:r>
      <w:r>
        <w:t xml:space="preserve"> </w:t>
      </w:r>
      <w:r>
        <w:t xml:space="preserve">8.</w:t>
      </w:r>
    </w:p>
    <w:bookmarkEnd w:id="47"/>
    <w:bookmarkStart w:id="49" w:name="ref-juslenApplicationRedList2016a"/>
    <w:p>
      <w:pPr>
        <w:pStyle w:val="Bibliography"/>
      </w:pPr>
      <w:r>
        <w:t xml:space="preserve">Juslén, Aino, Juha Pykälä, Saija Kuusela, Lauri Kaila, Jaakko Kullberg, Jaakko Mattila, Jyrki Muona, Sanna Saari, and Pedro Cardoso. 2016.</w:t>
      </w:r>
      <w:r>
        <w:t xml:space="preserve"> </w:t>
      </w:r>
      <w:r>
        <w:t xml:space="preserve">“Application of the</w:t>
      </w:r>
      <w:r>
        <w:t xml:space="preserve"> </w:t>
      </w:r>
      <w:r>
        <w:t xml:space="preserve">Red List Index</w:t>
      </w:r>
      <w:r>
        <w:t xml:space="preserve"> </w:t>
      </w:r>
      <w:r>
        <w:t xml:space="preserve">as an Indicator of Habitat Change.”</w:t>
      </w:r>
      <w:r>
        <w:t xml:space="preserve"> </w:t>
      </w:r>
      <w:r>
        <w:rPr>
          <w:iCs/>
          <w:i/>
        </w:rPr>
        <w:t xml:space="preserve">Biodiversity and Conservation</w:t>
      </w:r>
      <w:r>
        <w:t xml:space="preserve"> </w:t>
      </w:r>
      <w:r>
        <w:t xml:space="preserve">25 (3): 569–85.</w:t>
      </w:r>
      <w:r>
        <w:t xml:space="preserve"> </w:t>
      </w:r>
      <w:hyperlink r:id="rId48">
        <w:r>
          <w:rPr>
            <w:rStyle w:val="Hyperlink"/>
          </w:rPr>
          <w:t xml:space="preserve">https://doi.org/10.1007/s10531-016-1075-0</w:t>
        </w:r>
      </w:hyperlink>
      <w:r>
        <w:t xml:space="preserve">.</w:t>
      </w:r>
    </w:p>
    <w:bookmarkEnd w:id="49"/>
    <w:bookmarkStart w:id="50" w:name="X6bfd47cdba100e2042ccedefe4326f2411701c4"/>
    <w:p>
      <w:pPr>
        <w:pStyle w:val="Bibliography"/>
      </w:pPr>
      <w:r>
        <w:t xml:space="preserve">LaBrecque, Erin, Corrie Curtice, Jolie Harrison, Sofie M. Van Parijs, and Patrick N. Halpin. 2015.</w:t>
      </w:r>
      <w:r>
        <w:t xml:space="preserve"> </w:t>
      </w:r>
      <w:r>
        <w:t xml:space="preserve">“3.</w:t>
      </w:r>
      <w:r>
        <w:t xml:space="preserve"> </w:t>
      </w:r>
      <w:r>
        <w:t xml:space="preserve">Biologically Important Areas</w:t>
      </w:r>
      <w:r>
        <w:t xml:space="preserve"> </w:t>
      </w:r>
      <w:r>
        <w:t xml:space="preserve">for</w:t>
      </w:r>
      <w:r>
        <w:t xml:space="preserve"> </w:t>
      </w:r>
      <w:r>
        <w:t xml:space="preserve">Cetaceans Within US Waters-Gulf</w:t>
      </w:r>
      <w:r>
        <w:t xml:space="preserve"> </w:t>
      </w:r>
      <w:r>
        <w:t xml:space="preserve">of</w:t>
      </w:r>
      <w:r>
        <w:t xml:space="preserve"> </w:t>
      </w:r>
      <w:r>
        <w:t xml:space="preserve">Mexico Region</w:t>
      </w:r>
      <w:r>
        <w:t xml:space="preserve">.”</w:t>
      </w:r>
      <w:r>
        <w:t xml:space="preserve"> </w:t>
      </w:r>
      <w:r>
        <w:rPr>
          <w:iCs/>
          <w:i/>
        </w:rPr>
        <w:t xml:space="preserve">Aquatic Mammals</w:t>
      </w:r>
      <w:r>
        <w:t xml:space="preserve"> </w:t>
      </w:r>
      <w:r>
        <w:t xml:space="preserve">41 (1): 30.</w:t>
      </w:r>
    </w:p>
    <w:bookmarkEnd w:id="50"/>
    <w:bookmarkStart w:id="51" w:name="ref-mooneyACOUSTICIMPACTSOFFSHORE2022"/>
    <w:p>
      <w:pPr>
        <w:pStyle w:val="Bibliography"/>
      </w:pPr>
      <w:r>
        <w:t xml:space="preserve">Mooney, T Aran, Mathias H Andersson, and Jenni Stanley. 2022.</w:t>
      </w:r>
      <w:r>
        <w:t xml:space="preserve"> </w:t>
      </w:r>
      <w:r>
        <w:t xml:space="preserve">“</w:t>
      </w:r>
      <w:r>
        <w:t xml:space="preserve">ACOUSTIC IMPACTS OF OFFSHORE WIND ENERGY ON FISHERY RESOURCES</w:t>
      </w:r>
      <w:r>
        <w:t xml:space="preserve">.”</w:t>
      </w:r>
      <w:r>
        <w:t xml:space="preserve"> </w:t>
      </w:r>
      <w:r>
        <w:rPr>
          <w:iCs/>
          <w:i/>
        </w:rPr>
        <w:t xml:space="preserve">Oceanography</w:t>
      </w:r>
      <w:r>
        <w:t xml:space="preserve">, 15.</w:t>
      </w:r>
    </w:p>
    <w:bookmarkEnd w:id="51"/>
    <w:bookmarkStart w:id="52" w:name="ref-musialOffshoreWindMarket2022"/>
    <w:p>
      <w:pPr>
        <w:pStyle w:val="Bibliography"/>
      </w:pPr>
      <w:r>
        <w:t xml:space="preserve">Musial, Walter, Paul Spitsen, Patrick Duffy, Philipp Beiter, Melinda Marquis, Rob Hammond, and Matt Shields. 2022.</w:t>
      </w:r>
      <w:r>
        <w:t xml:space="preserve"> </w:t>
      </w:r>
      <w:r>
        <w:t xml:space="preserve">“Offshore</w:t>
      </w:r>
      <w:r>
        <w:t xml:space="preserve"> </w:t>
      </w:r>
      <w:r>
        <w:t xml:space="preserve">Wind Market Report</w:t>
      </w:r>
      <w:r>
        <w:t xml:space="preserve">: 2022</w:t>
      </w:r>
      <w:r>
        <w:t xml:space="preserve"> </w:t>
      </w:r>
      <w:r>
        <w:t xml:space="preserve">Edition</w:t>
      </w:r>
      <w:r>
        <w:t xml:space="preserve">.”</w:t>
      </w:r>
    </w:p>
    <w:bookmarkEnd w:id="52"/>
    <w:bookmarkStart w:id="54" w:name="ref-oharaAnticipatingFutureWorld2022"/>
    <w:p>
      <w:pPr>
        <w:pStyle w:val="Bibliography"/>
      </w:pPr>
      <w:r>
        <w:t xml:space="preserve">O’Hara, Casey C., and Benjamin S. Halpern. 2022.</w:t>
      </w:r>
      <w:r>
        <w:t xml:space="preserve"> </w:t>
      </w:r>
      <w:r>
        <w:t xml:space="preserve">“Anticipating the</w:t>
      </w:r>
      <w:r>
        <w:t xml:space="preserve"> </w:t>
      </w:r>
      <w:r>
        <w:t xml:space="preserve">Future</w:t>
      </w:r>
      <w:r>
        <w:t xml:space="preserve"> </w:t>
      </w:r>
      <w:r>
        <w:t xml:space="preserve">of the</w:t>
      </w:r>
      <w:r>
        <w:t xml:space="preserve"> </w:t>
      </w:r>
      <w:r>
        <w:t xml:space="preserve">World</w:t>
      </w:r>
      <w:r>
        <w:t xml:space="preserve">’s</w:t>
      </w:r>
      <w:r>
        <w:t xml:space="preserve"> </w:t>
      </w:r>
      <w:r>
        <w:t xml:space="preserve">Ocean</w:t>
      </w:r>
      <w:r>
        <w:t xml:space="preserve">.”</w:t>
      </w:r>
      <w:r>
        <w:t xml:space="preserve"> </w:t>
      </w:r>
      <w:r>
        <w:rPr>
          <w:iCs/>
          <w:i/>
        </w:rPr>
        <w:t xml:space="preserve">Annual Review of Environment and Resources</w:t>
      </w:r>
      <w:r>
        <w:t xml:space="preserve"> </w:t>
      </w:r>
      <w:r>
        <w:t xml:space="preserve">47 (1): null.</w:t>
      </w:r>
      <w:r>
        <w:t xml:space="preserve"> </w:t>
      </w:r>
      <w:hyperlink r:id="rId53">
        <w:r>
          <w:rPr>
            <w:rStyle w:val="Hyperlink"/>
          </w:rPr>
          <w:t xml:space="preserve">https://doi.org/10.1146/annurev-environ-120120-053645</w:t>
        </w:r>
      </w:hyperlink>
      <w:r>
        <w:t xml:space="preserve">.</w:t>
      </w:r>
    </w:p>
    <w:bookmarkEnd w:id="54"/>
    <w:bookmarkStart w:id="56" w:name="X2426e4071bb308bd379428f443cf0c2175a5297"/>
    <w:p>
      <w:pPr>
        <w:pStyle w:val="Bibliography"/>
      </w:pPr>
      <w:r>
        <w:t xml:space="preserve">Wilson, Jennifer C., and Michael Elliott. 2009.</w:t>
      </w:r>
      <w:r>
        <w:t xml:space="preserve"> </w:t>
      </w:r>
      <w:r>
        <w:t xml:space="preserve">“The Habitat-Creation Potential of Offshore Wind Farms.”</w:t>
      </w:r>
      <w:r>
        <w:t xml:space="preserve"> </w:t>
      </w:r>
      <w:r>
        <w:rPr>
          <w:iCs/>
          <w:i/>
        </w:rPr>
        <w:t xml:space="preserve">Wind Energy</w:t>
      </w:r>
      <w:r>
        <w:t xml:space="preserve"> </w:t>
      </w:r>
      <w:r>
        <w:t xml:space="preserve">12 (2): 203–12.</w:t>
      </w:r>
      <w:r>
        <w:t xml:space="preserve"> </w:t>
      </w:r>
      <w:hyperlink r:id="rId55">
        <w:r>
          <w:rPr>
            <w:rStyle w:val="Hyperlink"/>
          </w:rPr>
          <w:t xml:space="preserve">https://doi.org/10.1002/we.324</w:t>
        </w:r>
      </w:hyperlink>
      <w:r>
        <w:t xml:space="preserv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FishBase.org" TargetMode="External" /><Relationship Type="http://schemas.openxmlformats.org/officeDocument/2006/relationships/hyperlink" Id="rId36" Target="https://MarineSpecies.org/Traits" TargetMode="External" /><Relationship Type="http://schemas.openxmlformats.org/officeDocument/2006/relationships/hyperlink" Id="rId23" Target="https://docs.google.com/document/d/1JSJMBqqL4c44c8fx01I-elx7gK8dNyuABjLinaxC95k/edit#bookmark=id.sky4lrftqqq8" TargetMode="External" /><Relationship Type="http://schemas.openxmlformats.org/officeDocument/2006/relationships/hyperlink" Id="rId55" Target="https://doi.org/10.1002/we.324" TargetMode="External" /><Relationship Type="http://schemas.openxmlformats.org/officeDocument/2006/relationships/hyperlink" Id="rId48" Target="https://doi.org/10.1007/s10531-016-1075-0" TargetMode="External" /><Relationship Type="http://schemas.openxmlformats.org/officeDocument/2006/relationships/hyperlink" Id="rId53" Target="https://doi.org/10.1146/annurev-environ-120120-053645" TargetMode="External" /><Relationship Type="http://schemas.openxmlformats.org/officeDocument/2006/relationships/hyperlink" Id="rId35" Target="https://oceannoise.noaa.gov/biologically-important-areas" TargetMode="External" /><Relationship Type="http://schemas.openxmlformats.org/officeDocument/2006/relationships/hyperlink" Id="rId29" Target="https://offshorewindhabitat.info/report/methods.html#fig-map-zones" TargetMode="External" /><Relationship Type="http://schemas.openxmlformats.org/officeDocument/2006/relationships/hyperlink" Id="rId44" Target="https://offshorewindhabitat.info/report/results.html#tbl-zones" TargetMode="External" /><Relationship Type="http://schemas.openxmlformats.org/officeDocument/2006/relationships/hyperlink" Id="rId25" Target="https://poweralliance.org/2022/02/25/boem-sets-offshore-energy-records-with-4-37-billion-in-winning-bids-for-wind-sale/" TargetMode="External" /><Relationship Type="http://schemas.openxmlformats.org/officeDocument/2006/relationships/hyperlink" Id="rId20" Target="https://resourceslegacyfund.org/" TargetMode="External" /></Relationships>
</file>

<file path=word/_rels/footnotes.xml.rels><?xml version="1.0" encoding="UTF-8"?><Relationships xmlns="http://schemas.openxmlformats.org/package/2006/relationships"><Relationship Type="http://schemas.openxmlformats.org/officeDocument/2006/relationships/hyperlink" Id="rId37" Target="FishBase.org" TargetMode="External" /><Relationship Type="http://schemas.openxmlformats.org/officeDocument/2006/relationships/hyperlink" Id="rId36" Target="https://MarineSpecies.org/Traits" TargetMode="External" /><Relationship Type="http://schemas.openxmlformats.org/officeDocument/2006/relationships/hyperlink" Id="rId23" Target="https://docs.google.com/document/d/1JSJMBqqL4c44c8fx01I-elx7gK8dNyuABjLinaxC95k/edit#bookmark=id.sky4lrftqqq8" TargetMode="External" /><Relationship Type="http://schemas.openxmlformats.org/officeDocument/2006/relationships/hyperlink" Id="rId55" Target="https://doi.org/10.1002/we.324" TargetMode="External" /><Relationship Type="http://schemas.openxmlformats.org/officeDocument/2006/relationships/hyperlink" Id="rId48" Target="https://doi.org/10.1007/s10531-016-1075-0" TargetMode="External" /><Relationship Type="http://schemas.openxmlformats.org/officeDocument/2006/relationships/hyperlink" Id="rId53" Target="https://doi.org/10.1146/annurev-environ-120120-053645" TargetMode="External" /><Relationship Type="http://schemas.openxmlformats.org/officeDocument/2006/relationships/hyperlink" Id="rId35" Target="https://oceannoise.noaa.gov/biologically-important-areas" TargetMode="External" /><Relationship Type="http://schemas.openxmlformats.org/officeDocument/2006/relationships/hyperlink" Id="rId29" Target="https://offshorewindhabitat.info/report/methods.html#fig-map-zones" TargetMode="External" /><Relationship Type="http://schemas.openxmlformats.org/officeDocument/2006/relationships/hyperlink" Id="rId44" Target="https://offshorewindhabitat.info/report/results.html#tbl-zones" TargetMode="External" /><Relationship Type="http://schemas.openxmlformats.org/officeDocument/2006/relationships/hyperlink" Id="rId25" Target="https://poweralliance.org/2022/02/25/boem-sets-offshore-energy-records-with-4-37-billion-in-winning-bids-for-wind-sale/" TargetMode="External" /><Relationship Type="http://schemas.openxmlformats.org/officeDocument/2006/relationships/hyperlink" Id="rId20" Target="https://resourceslegacyfun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Offshore Habitat Assessment for US Wind Energy</dc:title>
  <dc:creator>Benjamin D. Best</dc:creator>
  <cp:keywords/>
  <dcterms:created xsi:type="dcterms:W3CDTF">2023-05-04T19:54:04Z</dcterms:created>
  <dcterms:modified xsi:type="dcterms:W3CDTF">2023-05-04T19:54:04Z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2023-05-04</vt:lpwstr>
  </property>
  <property fmtid="{D5CDD505-2E9C-101B-9397-08002B2CF9AE}" pid="11" name="date-format">
    <vt:lpwstr>YYYY-MM-DD</vt:lpwstr>
  </property>
  <property fmtid="{D5CDD505-2E9C-101B-9397-08002B2CF9AE}" pid="12" name="editor">
    <vt:lpwstr>source</vt:lpwstr>
  </property>
  <property fmtid="{D5CDD505-2E9C-101B-9397-08002B2CF9AE}" pid="13" name="editor_options">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4</vt:lpwstr>
  </property>
  <property fmtid="{D5CDD505-2E9C-101B-9397-08002B2CF9AE}" pid="19" name="toc-title">
    <vt:lpwstr>Contents</vt:lpwstr>
  </property>
  <property fmtid="{D5CDD505-2E9C-101B-9397-08002B2CF9AE}" pid="20" name="website">
    <vt:lpwstr/>
  </property>
</Properties>
</file>