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trivia comienza con un registro en el que los usuarios utilizan su nombre, apellido y correo (puede ser solo el corporativo pero no está confirmado) para ingresar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Seleccionan una amenaza que los lleva a responder una pregunta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Tienen la posibilidad de utilizar una ayuda (50:50) que elimina dos respuestas incorrectas una única vez en el juego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Existe un comodín que se activa automáticamente al responder 2 respuestas correctamente seguidas y duplica el puntaje.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Al responder 4 respuestas correctamente seguidas el puntaje se multiplica por 3.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Si responden tres preguntas mal se termina el juego.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 Al finalizar cada respuesta el icono de la amenaza se pone verde o rojo si la respondieron bien o mal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 Cada pregunta tiene un tiempo límite para responderla (por el momento 60 segundos)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8. Al terminar de responder todas las preguntas o tener tres errores hay una pantalla que muestra los resultados del jugador (puntaje, tiempo y preguntas correctas)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9. Al finalizar todo hay un ranking de todos los jugadores y si alguien pone un correo que ya se usó en el registro se dirige automáticamente al ranking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