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navigates to their profile or settings page.</w:t>
      </w:r>
    </w:p>
    <w:p>
      <w:pPr>
        <w:pStyle w:val="ListBullet"/>
      </w:pPr>
      <w:r>
        <w:t>The user clicks the "Logout" button.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navigates to their profile screen and selects "Edit Profile".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successfully" toast notification and returns the user to their refreshed profile view.</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who signed in with Google may choose the picture Google supplies during onboarding; the generated avatar is the default, and a declined photo is not stored.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Scope detail is deliberately not specified here.</w:t>
      </w:r>
      <w:r>
        <w:t xml:space="preserve"> Exactly which settings are configurable, and what the audit trail records, are decided in this feature's specification session and written to </w:t>
      </w:r>
      <w:r>
        <w:rPr>
          <w:rFonts w:ascii="Consolas" w:hAnsi="Consolas"/>
          <w:color w:val="A03030"/>
          <w:sz w:val="19"/>
        </w:rPr>
        <w:t>docs/features/admin-panel.md</w:t>
      </w:r>
      <w:r>
        <w:t xml:space="preserve"> before implementation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