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Tables</w:t>
      </w:r>
    </w:p>
    <w:p>
      <w:pPr>
        <w:pStyle w:val="Heading3"/>
      </w:pPr>
      <w:r>
        <w:t>Database Table Definitions</w:t>
      </w:r>
    </w:p>
    <w:p>
      <w:r>
        <w:t>Below is the detailed breakdown of each table, including column types and constraints.</w:t>
      </w:r>
    </w:p>
    <w:p>
      <w:pPr>
        <w:pStyle w:val="Heading3"/>
      </w:pPr>
      <w:r>
        <w:t>1. users Table</w:t>
      </w:r>
    </w:p>
    <w:p>
      <w:r>
        <w:t>Stores the core authentication and profile data.</w:t>
      </w:r>
    </w:p>
    <w:p>
      <w:pPr>
        <w:pStyle w:val="ListBullet"/>
      </w:pPr>
      <w:r>
        <w:rPr>
          <w:b/>
        </w:rPr>
        <w:t>id</w:t>
      </w:r>
      <w:r>
        <w:t xml:space="preserve"> (UUID, Primary Key): Unique identifier for the user.</w:t>
      </w:r>
    </w:p>
    <w:p>
      <w:pPr>
        <w:pStyle w:val="ListBullet"/>
      </w:pPr>
      <w:r>
        <w:rPr>
          <w:b/>
        </w:rPr>
        <w:t>google_sub</w:t>
      </w:r>
      <w:r>
        <w:t xml:space="preserve"> (VARCHAR, Unique, Not Null): The </w:t>
      </w:r>
      <w:r>
        <w:rPr>
          <w:rFonts w:ascii="Consolas" w:hAnsi="Consolas"/>
          <w:color w:val="A03030"/>
          <w:sz w:val="19"/>
        </w:rPr>
        <w:t>sub</w:t>
      </w:r>
      <w:r>
        <w:t xml:space="preserve"> claim from the Google identity token. </w:t>
      </w:r>
      <w:r>
        <w:rPr>
          <w:b/>
        </w:rPr>
        <w:t>This is the account key.</w:t>
      </w:r>
      <w:r>
        <w:t xml:space="preserve"> It is stable for the lifetime of the Google account and is opaque — it identifies the account to Google, not a person to us.</w:t>
      </w:r>
    </w:p>
    <w:p>
      <w:pPr>
        <w:pStyle w:val="ListBullet"/>
      </w:pPr>
      <w:r>
        <w:rPr>
          <w:b/>
        </w:rPr>
        <w:t>username</w:t>
      </w:r>
      <w:r>
        <w:t xml:space="preserve"> (VARCHAR, Unique, Not Null): For @mentions and searching.</w:t>
      </w:r>
    </w:p>
    <w:p>
      <w:pPr>
        <w:pStyle w:val="ListBullet"/>
      </w:pPr>
      <w:r>
        <w:rPr>
          <w:b/>
        </w:rPr>
        <w:t>display_name</w:t>
      </w:r>
      <w:r>
        <w:t xml:space="preserve"> (VARCHAR, Not Null): The name shown on their profile.</w:t>
      </w:r>
    </w:p>
    <w:p>
      <w:pPr>
        <w:pStyle w:val="ListBullet"/>
      </w:pPr>
      <w:r>
        <w:rPr>
          <w:b/>
        </w:rPr>
        <w:t>profile_picture_url</w:t>
      </w:r>
      <w:r>
        <w:t xml:space="preserve"> (VARCHAR, Nullable): The </w:t>
      </w:r>
      <w:r>
        <w:rPr>
          <w:rFonts w:ascii="Consolas" w:hAnsi="Consolas"/>
          <w:color w:val="A03030"/>
          <w:sz w:val="19"/>
        </w:rPr>
        <w:t>picture</w:t>
      </w:r>
      <w:r>
        <w:t xml:space="preserve"> URL supplied by Google. Null for users who have no Google picture; the UI then falls back to a generated avatar.</w:t>
      </w:r>
    </w:p>
    <w:p>
      <w:pPr>
        <w:pStyle w:val="ListBullet"/>
      </w:pPr>
      <w:r>
        <w:rPr>
          <w:b/>
        </w:rPr>
        <w:t>preferred_service</w:t>
      </w:r>
      <w:r>
        <w:t xml:space="preserve"> (ENUM, Not Null): e.g., 'SPOTIFY', 'APPLE_MUSIC', 'YOUTUBE', 'TIDAL', 'DEEZER'. Defaults to a specific service.</w:t>
      </w:r>
    </w:p>
    <w:p>
      <w:pPr>
        <w:pStyle w:val="ListBullet"/>
      </w:pPr>
      <w:r>
        <w:rPr>
          <w:b/>
        </w:rPr>
        <w:t>role</w:t>
      </w:r>
      <w:r>
        <w:t xml:space="preserve"> (ENUM, Not Null, Default 'USER'): 'USER' or 'ADMIN'. Gates the administrative area (UC-19). Not editable through any API — it is set directly in the database.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IntenseQuote"/>
      </w:pPr>
      <w:r>
        <w:rPr>
          <w:b/>
        </w:rPr>
        <w:t>🔴 There is deliberately no `email` column and no `password_hash` column.</w:t>
      </w:r>
      <w:r>
        <w:t xml:space="preserve"> Google Sign-In is the only authentication method, so no password exists to hash. The </w:t>
      </w:r>
      <w:r>
        <w:rPr>
          <w:rFonts w:ascii="Consolas" w:hAnsi="Consolas"/>
          <w:color w:val="A03030"/>
          <w:sz w:val="19"/>
        </w:rPr>
        <w:t>email</w:t>
      </w:r>
      <w:r>
        <w:t xml:space="preserve"> claim returned in the Google identity token is </w:t>
      </w:r>
      <w:r>
        <w:rPr>
          <w:b/>
        </w:rPr>
        <w:t>read for verification and then discarded</w:t>
      </w:r>
      <w:r>
        <w:t xml:space="preserve"> — it is never written to the database, never logged, and never exposed through any endpoint including the admin area (UC-19). This is a data-minimisation decision: the operator should not hold user email addresses. The consequences are accepted knowingly: - The application can never send email to a user. - A user who loses access to their Google account cannot be recovered, and support cannot identify them. - Account linking across providers is moot, because there is only one provider. Do not add an email column back without an explicit new decision recorded here and in </w:t>
      </w:r>
      <w:r>
        <w:rPr>
          <w:rFonts w:ascii="Consolas" w:hAnsi="Consolas"/>
          <w:color w:val="A03030"/>
          <w:sz w:val="19"/>
        </w:rPr>
        <w:t>docs/auth.md</w:t>
      </w:r>
      <w:r>
        <w:t>.</w:t>
      </w:r>
    </w:p>
    <w:p>
      <w:pPr>
        <w:pStyle w:val="Heading3"/>
      </w:pPr>
      <w:r>
        <w:t>2. communities Table</w:t>
      </w:r>
    </w:p>
    <w:p>
      <w:r>
        <w:t>Stores the group details.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name</w:t>
      </w:r>
      <w:r>
        <w:t xml:space="preserve"> (VARCHAR, Not Null): Name of the group.</w:t>
      </w:r>
    </w:p>
    <w:p>
      <w:pPr>
        <w:pStyle w:val="ListBullet"/>
      </w:pPr>
      <w:r>
        <w:rPr>
          <w:b/>
        </w:rPr>
        <w:t>description</w:t>
      </w:r>
      <w:r>
        <w:t xml:space="preserve"> (TEXT, Nullable): Group bio or rules.</w:t>
      </w:r>
    </w:p>
    <w:p>
      <w:pPr>
        <w:pStyle w:val="ListBullet"/>
      </w:pPr>
      <w:r>
        <w:rPr>
          <w:b/>
        </w:rPr>
        <w:t>cover_image_url</w:t>
      </w:r>
      <w:r>
        <w:t xml:space="preserve"> (VARCHAR, Nullable): Link to the banner image.</w:t>
      </w:r>
    </w:p>
    <w:p>
      <w:pPr>
        <w:pStyle w:val="ListBullet"/>
      </w:pPr>
      <w:r>
        <w:rPr>
          <w:b/>
        </w:rPr>
        <w:t>invite_token</w:t>
      </w:r>
      <w:r>
        <w:t xml:space="preserve"> (VARCHAR, Unique, Nullable): A static or regenerating string used to build the invite URLs (UC-15).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Heading3"/>
      </w:pPr>
      <w:r>
        <w:t>3. community_members Table (Junction Table)</w:t>
      </w:r>
    </w:p>
    <w:p>
      <w:r>
        <w:t>Resolves the many-to-many relationship between users and communities.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community_id</w:t>
      </w:r>
      <w:r>
        <w:t xml:space="preserve"> (UUID, Foreign Key referencing communities(id)).</w:t>
      </w:r>
    </w:p>
    <w:p>
      <w:pPr>
        <w:pStyle w:val="ListBullet"/>
      </w:pPr>
      <w:r>
        <w:rPr>
          <w:b/>
        </w:rPr>
        <w:t>role</w:t>
      </w:r>
      <w:r>
        <w:t xml:space="preserve"> (ENUM, Not Null): e.g., 'ADMIN', 'MEMBER'. Dictates permissions like kicking users (UC-14).</w:t>
      </w:r>
    </w:p>
    <w:p>
      <w:pPr>
        <w:pStyle w:val="ListBullet"/>
      </w:pPr>
      <w:r>
        <w:rPr>
          <w:b/>
        </w:rPr>
        <w:t>joined_at</w:t>
      </w:r>
      <w:r>
        <w:t xml:space="preserve"> (TIMESTAMP, Default Current Time).</w:t>
      </w:r>
    </w:p>
    <w:p>
      <w:pPr>
        <w:pStyle w:val="ListBullet"/>
      </w:pPr>
      <w:r>
        <w:t>(Composite Primary Key: user_id, community_id to prevent duplicate memberships).</w:t>
      </w:r>
    </w:p>
    <w:p>
      <w:pPr>
        <w:pStyle w:val="Heading3"/>
      </w:pPr>
      <w:r>
        <w:t>4. friends Table</w:t>
      </w:r>
    </w:p>
    <w:p>
      <w:r>
        <w:t>Manages the bidirectional social graph and pending requests (UC-6, UC-7, UC-8).</w:t>
      </w:r>
    </w:p>
    <w:p>
      <w:pPr>
        <w:pStyle w:val="ListBullet"/>
      </w:pPr>
      <w:r>
        <w:rPr>
          <w:b/>
        </w:rPr>
        <w:t>requester_id</w:t>
      </w:r>
      <w:r>
        <w:t xml:space="preserve"> (UUID, Foreign Key referencing users(id)): The person who sent the invite.</w:t>
      </w:r>
    </w:p>
    <w:p>
      <w:pPr>
        <w:pStyle w:val="ListBullet"/>
      </w:pPr>
      <w:r>
        <w:rPr>
          <w:b/>
        </w:rPr>
        <w:t>addressee_id</w:t>
      </w:r>
      <w:r>
        <w:t xml:space="preserve"> (UUID, Foreign Key referencing users(id)): The person receiving the invite.</w:t>
      </w:r>
    </w:p>
    <w:p>
      <w:pPr>
        <w:pStyle w:val="ListBullet"/>
      </w:pPr>
      <w:r>
        <w:rPr>
          <w:b/>
        </w:rPr>
        <w:t>status</w:t>
      </w:r>
      <w:r>
        <w:t xml:space="preserve"> (ENUM, Not Null): 'PENDING', 'ACCEPTED'.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(Composite Primary Key: requester_id, addressee_id. You will need application logic or a database check constraint to ensure that if User A requests User B, User B cannot simultaneously request User A to prevent redundant rows).</w:t>
      </w:r>
    </w:p>
    <w:p>
      <w:pPr>
        <w:pStyle w:val="Heading3"/>
      </w:pPr>
      <w:r>
        <w:t>5. posts Table</w:t>
      </w:r>
    </w:p>
    <w:p>
      <w:r>
        <w:t>The core entity for music recommendations (UC-11).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author_id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community_id</w:t>
      </w:r>
      <w:r>
        <w:t xml:space="preserve"> (UUID, Foreign Key referencing communities(id)).</w:t>
      </w:r>
    </w:p>
    <w:p>
      <w:pPr>
        <w:pStyle w:val="ListBullet"/>
      </w:pPr>
      <w:r>
        <w:rPr>
          <w:b/>
        </w:rPr>
        <w:t>original_url</w:t>
      </w:r>
      <w:r>
        <w:t xml:space="preserve"> (VARCHAR, Not Null): The raw link the user pasted.</w:t>
      </w:r>
    </w:p>
    <w:p>
      <w:pPr>
        <w:pStyle w:val="ListBullet"/>
      </w:pPr>
      <w:r>
        <w:rPr>
          <w:b/>
        </w:rPr>
        <w:t>song_title</w:t>
      </w:r>
      <w:r>
        <w:t xml:space="preserve"> (VARCHAR, Nullable): Fetched via your Playwright scraper.</w:t>
      </w:r>
    </w:p>
    <w:p>
      <w:pPr>
        <w:pStyle w:val="ListBullet"/>
      </w:pPr>
      <w:r>
        <w:rPr>
          <w:b/>
        </w:rPr>
        <w:t>song_artist</w:t>
      </w:r>
      <w:r>
        <w:t xml:space="preserve"> (VARCHAR, Nullable).</w:t>
      </w:r>
    </w:p>
    <w:p>
      <w:pPr>
        <w:pStyle w:val="ListBullet"/>
      </w:pPr>
      <w:r>
        <w:rPr>
          <w:b/>
        </w:rPr>
        <w:t>song_cover_art_url</w:t>
      </w:r>
      <w:r>
        <w:t xml:space="preserve"> (VARCHAR, Nullable).</w:t>
      </w:r>
    </w:p>
    <w:p>
      <w:pPr>
        <w:pStyle w:val="ListBullet"/>
      </w:pPr>
      <w:r>
        <w:rPr>
          <w:b/>
        </w:rPr>
        <w:t>universal_link_spotify</w:t>
      </w:r>
      <w:r>
        <w:t xml:space="preserve"> (VARCHAR, Nullable): Output from the scraper.</w:t>
      </w:r>
    </w:p>
    <w:p>
      <w:pPr>
        <w:pStyle w:val="ListBullet"/>
      </w:pPr>
      <w:r>
        <w:rPr>
          <w:b/>
        </w:rPr>
        <w:t>universal_link_apple</w:t>
      </w:r>
      <w:r>
        <w:t xml:space="preserve"> (VARCHAR, Nullable).</w:t>
      </w:r>
    </w:p>
    <w:p>
      <w:pPr>
        <w:pStyle w:val="ListBullet"/>
      </w:pPr>
      <w:r>
        <w:rPr>
          <w:b/>
        </w:rPr>
        <w:t>universal_link_youtube</w:t>
      </w:r>
      <w:r>
        <w:t xml:space="preserve"> (VARCHAR, Nullable).</w:t>
      </w:r>
    </w:p>
    <w:p>
      <w:pPr>
        <w:pStyle w:val="ListBullet"/>
      </w:pPr>
      <w:r>
        <w:rPr>
          <w:b/>
        </w:rPr>
        <w:t>text_comment</w:t>
      </w:r>
      <w:r>
        <w:t xml:space="preserve"> (TEXT, Nullable): The author's initial thoughts on the song.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Heading3"/>
      </w:pPr>
      <w:r>
        <w:t>6. ratings Table</w:t>
      </w:r>
    </w:p>
    <w:p>
      <w:r>
        <w:t>Stores the feedback on specific posts (UC-13, UC-16).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post_id</w:t>
      </w:r>
      <w:r>
        <w:t xml:space="preserve"> (UUID, Foreign Key referencing posts(id)).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users(id)): The person leaving the review.</w:t>
      </w:r>
    </w:p>
    <w:p>
      <w:pPr>
        <w:pStyle w:val="ListBullet"/>
      </w:pPr>
      <w:r>
        <w:rPr>
          <w:b/>
        </w:rPr>
        <w:t>score</w:t>
      </w:r>
      <w:r>
        <w:t xml:space="preserve"> (SMALLINT, Not Null): A number between 1 and 10.</w:t>
      </w:r>
    </w:p>
    <w:p>
      <w:pPr>
        <w:pStyle w:val="ListBullet"/>
      </w:pPr>
      <w:r>
        <w:rPr>
          <w:b/>
        </w:rPr>
        <w:t>comment</w:t>
      </w:r>
      <w:r>
        <w:t xml:space="preserve"> (TEXT, Nullable): Optional text feedback.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(Unique Constraint on post_id and user_id to ensure a user can only rate a specific post once).</w:t>
      </w:r>
    </w:p>
    <w:p>
      <w:pPr>
        <w:pStyle w:val="Heading3"/>
      </w:pPr>
      <w:r>
        <w:t>7. bookmarks Table</w:t>
      </w:r>
    </w:p>
    <w:p>
      <w:r>
        <w:t>Powers the "Listen Later" queue (UC-12).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post_id</w:t>
      </w:r>
      <w:r>
        <w:t xml:space="preserve"> (UUID, Foreign Key referencing posts(id)).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(Composite Primary Key: user_id, post_id).</w:t>
      </w:r>
    </w:p>
    <w:p>
      <w:pPr>
        <w:pStyle w:val="IntenseQuote"/>
      </w:pPr>
      <w:r>
        <w:rPr>
          <w:b/>
        </w:rPr>
        <w:t>Table 8 (`password_resets`) has been removed.</w:t>
      </w:r>
      <w:r>
        <w:t xml:space="preserve"> It existed to hold recovery tokens emailed to users. With no passwords and no email addresses there is nothing to recover and nowhere to send a link, so the table, the endpoints, and the screens that used it are all withdrawn (UC-17). </w:t>
      </w:r>
      <w:r>
        <w:rPr>
          <w:b/>
        </w:rPr>
        <w:t>The schema is seven tables:</w:t>
      </w:r>
      <w:r>
        <w:t xml:space="preserve"> </w:t>
      </w:r>
      <w:r>
        <w:rPr>
          <w:rFonts w:ascii="Consolas" w:hAnsi="Consolas"/>
          <w:color w:val="A03030"/>
          <w:sz w:val="19"/>
        </w:rPr>
        <w:t>users</w:t>
      </w:r>
      <w:r>
        <w:t xml:space="preserve">, </w:t>
      </w:r>
      <w:r>
        <w:rPr>
          <w:rFonts w:ascii="Consolas" w:hAnsi="Consolas"/>
          <w:color w:val="A03030"/>
          <w:sz w:val="19"/>
        </w:rPr>
        <w:t>communities</w:t>
      </w:r>
      <w:r>
        <w:t xml:space="preserve">, </w:t>
      </w:r>
      <w:r>
        <w:rPr>
          <w:rFonts w:ascii="Consolas" w:hAnsi="Consolas"/>
          <w:color w:val="A03030"/>
          <w:sz w:val="19"/>
        </w:rPr>
        <w:t>community_members</w:t>
      </w:r>
      <w:r>
        <w:t xml:space="preserve">, </w:t>
      </w:r>
      <w:r>
        <w:rPr>
          <w:rFonts w:ascii="Consolas" w:hAnsi="Consolas"/>
          <w:color w:val="A03030"/>
          <w:sz w:val="19"/>
        </w:rPr>
        <w:t>friends</w:t>
      </w:r>
      <w:r>
        <w:t xml:space="preserve">, </w:t>
      </w:r>
      <w:r>
        <w:rPr>
          <w:rFonts w:ascii="Consolas" w:hAnsi="Consolas"/>
          <w:color w:val="A03030"/>
          <w:sz w:val="19"/>
        </w:rPr>
        <w:t>posts</w:t>
      </w:r>
      <w:r>
        <w:t xml:space="preserve">, </w:t>
      </w:r>
      <w:r>
        <w:rPr>
          <w:rFonts w:ascii="Consolas" w:hAnsi="Consolas"/>
          <w:color w:val="A03030"/>
          <w:sz w:val="19"/>
        </w:rPr>
        <w:t>ratings</w:t>
      </w:r>
      <w:r>
        <w:t xml:space="preserve">, </w:t>
      </w:r>
      <w:r>
        <w:rPr>
          <w:rFonts w:ascii="Consolas" w:hAnsi="Consolas"/>
          <w:color w:val="A03030"/>
          <w:sz w:val="19"/>
        </w:rPr>
        <w:t>bookmarks</w:t>
      </w:r>
      <w:r>
        <w:t xml:space="preserve">. The administrative area (UC-19) will need a settings table for presentation configuration. It is </w:t>
      </w:r>
      <w:r>
        <w:rPr>
          <w:b/>
        </w:rPr>
        <w:t>not defined here</w:t>
      </w:r>
      <w:r>
        <w:t xml:space="preserve"> — its shape is decided in that feature's specification session and written to </w:t>
      </w:r>
      <w:r>
        <w:rPr>
          <w:rFonts w:ascii="Consolas" w:hAnsi="Consolas"/>
          <w:color w:val="A03030"/>
          <w:sz w:val="19"/>
        </w:rPr>
        <w:t>docs/features/admin-panel.md</w:t>
      </w:r>
      <w:r>
        <w:t xml:space="preserve"> before any migration is written.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