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deliberately deferred to Phase 6</w:t>
      </w:r>
    </w:p>
    <w:p>
      <w:r>
        <w:rPr>
          <w:b/>
        </w:rPr>
        <w:t>No hosting provider has been chosen, and one will not be chosen until Phase 6 is reached.</w:t>
      </w:r>
    </w:p>
    <w:p>
      <w:r>
        <w:t>This is a deliberate decision, not an oversight. Free-tier terms change frequently — memory allowances, idle-spin-down behaviour, and especially the lifetime of free managed databases. Committing now to terms that may not hold months from now would mean planning against stale facts. The comparison below records the shape of the decision; the actual terms must be re-verified against each provider's current pricing page at the moment the decision is made.</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Rule until Phase 6</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is a configuration change, not a rewrite.</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r>
              <w:t>Managed Postgres at the chosen provider</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The Google OAuth client must list the production origin in its authorised JavaScript origins and redirect URIs; this is a manual step in the Google Cloud Console at deploy time and is easy to forget.</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 ] Provider chosen, with current free-tier terms verified and recorded in this document.</w:t>
      </w:r>
    </w:p>
    <w:p>
      <w:pPr>
        <w:pStyle w:val="ListBullet"/>
      </w:pPr>
      <w:r>
        <w:t xml:space="preserve">[ ] Production Postgres provisioned; </w:t>
      </w:r>
      <w:r>
        <w:rPr>
          <w:rFonts w:ascii="Consolas" w:hAnsi="Consolas"/>
          <w:color w:val="A03030"/>
          <w:sz w:val="19"/>
        </w:rPr>
        <w:t>DATABASE_URL</w:t>
      </w:r>
      <w:r>
        <w:t xml:space="preserve"> set as a secret.</w:t>
      </w:r>
    </w:p>
    <w:p>
      <w:pPr>
        <w:pStyle w:val="ListBullet"/>
      </w:pPr>
      <w:r>
        <w:t>[ ] Prisma migrations run against production.</w:t>
      </w:r>
    </w:p>
    <w:p>
      <w:pPr>
        <w:pStyle w:val="ListBullet"/>
      </w:pPr>
      <w:r>
        <w:t xml:space="preserve">[ ] </w:t>
      </w:r>
      <w:r>
        <w:rPr>
          <w:rFonts w:ascii="Consolas" w:hAnsi="Consolas"/>
          <w:color w:val="A03030"/>
          <w:sz w:val="19"/>
        </w:rPr>
        <w:t>JWT_SECRET</w:t>
      </w:r>
      <w:r>
        <w:t xml:space="preserve"> independently generated and set.</w:t>
      </w:r>
    </w:p>
    <w:p>
      <w:pPr>
        <w:pStyle w:val="ListBullet"/>
      </w:pPr>
      <w:r>
        <w:t>[ ] Google OAuth client updated with the production origin and redirect URI.</w:t>
      </w:r>
    </w:p>
    <w:p>
      <w:pPr>
        <w:pStyle w:val="ListBullet"/>
      </w:pPr>
      <w:r>
        <w:t xml:space="preserve">[ ] Backend deployed from the Playwright-based Docker image; </w:t>
      </w:r>
      <w:r>
        <w:rPr>
          <w:rFonts w:ascii="Consolas" w:hAnsi="Consolas"/>
          <w:color w:val="A03030"/>
          <w:sz w:val="19"/>
        </w:rPr>
        <w:t>/api/health</w:t>
      </w:r>
      <w:r>
        <w:t xml:space="preserve"> returns 200 over HTTPS.</w:t>
      </w:r>
    </w:p>
    <w:p>
      <w:pPr>
        <w:pStyle w:val="ListBullet"/>
      </w:pPr>
      <w:r>
        <w:t xml:space="preserve">[ ] Frontend built with the production </w:t>
      </w:r>
      <w:r>
        <w:rPr>
          <w:rFonts w:ascii="Consolas" w:hAnsi="Consolas"/>
          <w:color w:val="A03030"/>
          <w:sz w:val="19"/>
        </w:rPr>
        <w:t>VITE_API_BASE_URL</w:t>
      </w:r>
      <w:r>
        <w:t xml:space="preserve"> and deployed.</w:t>
      </w:r>
    </w:p>
    <w:p>
      <w:pPr>
        <w:pStyle w:val="ListBullet"/>
      </w:pPr>
      <w:r>
        <w:t>[ ] CORS configured to allow exactly the production frontend origin — not a wildcard.</w:t>
      </w:r>
    </w:p>
    <w:p>
      <w:pPr>
        <w:pStyle w:val="ListBullet"/>
      </w:pPr>
      <w:r>
        <w:t xml:space="preserve">[ ] Auth cookie verified as </w:t>
      </w:r>
      <w:r>
        <w:rPr>
          <w:rFonts w:ascii="Consolas" w:hAnsi="Consolas"/>
          <w:color w:val="A03030"/>
          <w:sz w:val="19"/>
        </w:rPr>
        <w:t>HttpOnly</w:t>
      </w:r>
      <w:r>
        <w:t xml:space="preserve">, </w:t>
      </w:r>
      <w:r>
        <w:rPr>
          <w:rFonts w:ascii="Consolas" w:hAnsi="Consolas"/>
          <w:color w:val="A03030"/>
          <w:sz w:val="19"/>
        </w:rPr>
        <w:t>Secure</w:t>
      </w:r>
      <w:r>
        <w:t xml:space="preserve">, and </w:t>
      </w:r>
      <w:r>
        <w:rPr>
          <w:rFonts w:ascii="Consolas" w:hAnsi="Consolas"/>
          <w:color w:val="A03030"/>
          <w:sz w:val="19"/>
        </w:rPr>
        <w:t>SameSite</w:t>
      </w:r>
      <w:r>
        <w:t>=Lax, which requires the frontend and the API on the same site (one registrable domain, or the API proxied under the frontend origin). See docs/features/google-auth.md §4.</w:t>
      </w:r>
    </w:p>
    <w:p>
      <w:pPr>
        <w:pStyle w:val="ListBullet"/>
      </w:pPr>
      <w:r>
        <w:t>[ ] Link conversion verified end-to-end in production — this is the step most likely to fail, because Chromium's memory footprint on a small instance is not reproducible locally.</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