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Null for users who have no Google picture; the UI then falls back to a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cover_image_url</w:t>
      </w:r>
      <w:r>
        <w:t xml:space="preserve"> (VARCHAR, Nullable): Link to the banner image.</w:t>
      </w:r>
    </w:p>
    <w:p>
      <w:pPr>
        <w:pStyle w:val="ListBullet"/>
      </w:pPr>
      <w:r>
        <w:rPr>
          <w:b/>
        </w:rPr>
        <w:t>invite_token</w:t>
      </w:r>
      <w:r>
        <w:t xml:space="preserve"> (VARCHAR, Unique, Nullable): A static or regenerating string used to build the invite URLs (UC-15).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role</w:t>
      </w:r>
      <w:r>
        <w:t xml:space="preserve"> (ENUM, Not Null): e.g., 'ADMIN', 'MEMBER'. Dictates permissions like kicking users (UC-14).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t>(Composite Primary Key: user_id, community_id to prevent duplicate memberships).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IntenseQuote"/>
      </w:pPr>
      <w:r>
        <w:rPr>
          <w:b/>
        </w:rPr>
        <w:t>Table 8 (`password_resets`) has been removed.</w:t>
      </w:r>
      <w:r>
        <w:t xml:space="preserve"> It existed to hold recovery tokens emailed to users. With no passwords and no email addresses there is nothing to recover and nowhere to send a link, so the table, the endpoints, and the screens that used it are all withdrawn (UC-17). </w:t>
      </w:r>
      <w:r>
        <w:rPr>
          <w:b/>
        </w:rPr>
        <w:t>The schema is seven tables:</w:t>
      </w:r>
      <w:r>
        <w:t xml:space="preserve"> </w:t>
      </w:r>
      <w:r>
        <w:rPr>
          <w:rFonts w:ascii="Consolas" w:hAnsi="Consolas"/>
          <w:color w:val="A03030"/>
          <w:sz w:val="19"/>
        </w:rPr>
        <w:t>users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communities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community_members</w:t>
      </w:r>
      <w:r>
        <w:t xml:space="preserve">, </w:t>
      </w:r>
      <w:r>
        <w:rPr>
          <w:rFonts w:ascii="Consolas" w:hAnsi="Consolas"/>
          <w:color w:val="A03030"/>
          <w:sz w:val="19"/>
        </w:rPr>
        <w:t>friends</w:t>
      </w:r>
      <w:r>
        <w:t xml:space="preserve">, </w:t>
      </w:r>
      <w:r>
        <w:rPr>
          <w:rFonts w:ascii="Consolas" w:hAnsi="Consolas"/>
          <w:color w:val="A03030"/>
          <w:sz w:val="19"/>
        </w:rPr>
        <w:t>posts</w:t>
      </w:r>
      <w:r>
        <w:t xml:space="preserve">, </w:t>
      </w:r>
      <w:r>
        <w:rPr>
          <w:rFonts w:ascii="Consolas" w:hAnsi="Consolas"/>
          <w:color w:val="A03030"/>
          <w:sz w:val="19"/>
        </w:rPr>
        <w:t>ratings</w:t>
      </w:r>
      <w:r>
        <w:t xml:space="preserve">, </w:t>
      </w:r>
      <w:r>
        <w:rPr>
          <w:rFonts w:ascii="Consolas" w:hAnsi="Consolas"/>
          <w:color w:val="A03030"/>
          <w:sz w:val="19"/>
        </w:rPr>
        <w:t>bookmarks</w:t>
      </w:r>
      <w:r>
        <w:t xml:space="preserve">. The administrative area (UC-19) will need a settings table for presentation configuration. It is </w:t>
      </w:r>
      <w:r>
        <w:rPr>
          <w:b/>
        </w:rPr>
        <w:t>not defined here</w:t>
      </w:r>
      <w:r>
        <w:t xml:space="preserve"> — its shape is decided in that feature's specification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any migration is written.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