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D3D12">
      <w:pPr>
        <w:snapToGrid w:val="0"/>
        <w:jc w:val="center"/>
        <w:rPr>
          <w:rFonts w:hint="eastAsia" w:eastAsia="楷体_GB2312"/>
          <w:sz w:val="52"/>
          <w:szCs w:val="52"/>
          <w:lang w:eastAsia="zh-CN"/>
        </w:rPr>
      </w:pPr>
    </w:p>
    <w:p w14:paraId="663DB72C">
      <w:pPr>
        <w:snapToGrid w:val="0"/>
        <w:jc w:val="center"/>
        <w:rPr>
          <w:rFonts w:hint="eastAsia" w:eastAsia="楷体_GB2312"/>
          <w:sz w:val="52"/>
          <w:szCs w:val="52"/>
          <w:lang w:eastAsia="zh-CN"/>
        </w:rPr>
      </w:pPr>
    </w:p>
    <w:p w14:paraId="2BD41A60">
      <w:pPr>
        <w:snapToGrid w:val="0"/>
        <w:jc w:val="center"/>
        <w:rPr>
          <w:rFonts w:hint="eastAsia" w:eastAsia="楷体_GB2312"/>
          <w:sz w:val="52"/>
          <w:szCs w:val="52"/>
          <w:lang w:eastAsia="zh-CN"/>
        </w:rPr>
      </w:pPr>
    </w:p>
    <w:p w14:paraId="46C1B43E"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hint="eastAsia" w:eastAsia="楷体_GB2312"/>
          <w:sz w:val="52"/>
          <w:szCs w:val="52"/>
          <w:lang w:eastAsia="zh-CN"/>
        </w:rPr>
        <w:t>HIS医院门诊管理系统原型设计说明书</w:t>
      </w:r>
    </w:p>
    <w:p w14:paraId="6B90BCC7">
      <w:pPr>
        <w:snapToGrid w:val="0"/>
        <w:jc w:val="center"/>
        <w:rPr>
          <w:rFonts w:eastAsia="楷体_GB2312"/>
          <w:sz w:val="52"/>
          <w:szCs w:val="52"/>
        </w:rPr>
      </w:pPr>
    </w:p>
    <w:p w14:paraId="46BC10FB">
      <w:pPr>
        <w:snapToGrid w:val="0"/>
        <w:jc w:val="center"/>
        <w:rPr>
          <w:rFonts w:ascii="楷体_GB2312" w:hAnsi="楷体_GB2312" w:eastAsia="楷体_GB2312"/>
          <w:b/>
          <w:sz w:val="28"/>
        </w:rPr>
      </w:pPr>
    </w:p>
    <w:p w14:paraId="3B69C2E4">
      <w:pPr>
        <w:snapToGrid w:val="0"/>
        <w:jc w:val="center"/>
        <w:rPr>
          <w:rFonts w:eastAsia="楷体_GB2312"/>
          <w:szCs w:val="24"/>
        </w:rPr>
      </w:pPr>
      <w:r>
        <w:rPr>
          <w:rFonts w:ascii="楷体_GB2312" w:hAnsi="楷体_GB2312" w:eastAsia="楷体_GB2312"/>
          <w:szCs w:val="24"/>
        </w:rPr>
        <w:t>版本：</w:t>
      </w:r>
      <w:r>
        <w:rPr>
          <w:rFonts w:eastAsia="楷体_GB2312"/>
          <w:szCs w:val="24"/>
          <w:lang w:eastAsia="zh-CN"/>
        </w:rPr>
        <w:t>1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-0.0.0</w:t>
      </w:r>
    </w:p>
    <w:p w14:paraId="5F06C16A">
      <w:pPr>
        <w:widowControl/>
        <w:suppressAutoHyphens w:val="0"/>
        <w:spacing w:line="240" w:lineRule="auto"/>
        <w:jc w:val="center"/>
        <w:rPr>
          <w:rFonts w:ascii="楷体_GB2312" w:eastAsia="楷体_GB2312"/>
          <w:kern w:val="0"/>
          <w:szCs w:val="24"/>
          <w:lang w:eastAsia="zh-CN"/>
        </w:rPr>
      </w:pPr>
      <w:r>
        <w:rPr>
          <w:rFonts w:hint="eastAsia" w:eastAsia="楷体_GB2312"/>
          <w:szCs w:val="24"/>
          <w:lang w:eastAsia="zh-CN"/>
        </w:rPr>
        <w:t>202</w:t>
      </w:r>
      <w:r>
        <w:rPr>
          <w:rFonts w:hint="eastAsia" w:eastAsia="楷体_GB2312"/>
          <w:szCs w:val="24"/>
          <w:lang w:val="en-US" w:eastAsia="zh-CN"/>
        </w:rPr>
        <w:t>5</w:t>
      </w:r>
      <w:r>
        <w:rPr>
          <w:rFonts w:eastAsia="楷体_GB2312"/>
          <w:szCs w:val="24"/>
        </w:rPr>
        <w:t>-</w:t>
      </w:r>
      <w:r>
        <w:rPr>
          <w:rFonts w:hint="eastAsia" w:eastAsia="楷体_GB2312"/>
          <w:szCs w:val="24"/>
          <w:lang w:val="en-US" w:eastAsia="zh-CN"/>
        </w:rPr>
        <w:t>8</w:t>
      </w:r>
      <w:r>
        <w:rPr>
          <w:rFonts w:eastAsia="楷体_GB2312"/>
          <w:szCs w:val="24"/>
        </w:rPr>
        <w:t>-</w:t>
      </w:r>
      <w:r>
        <w:rPr>
          <w:rFonts w:hint="eastAsia" w:eastAsia="楷体_GB2312"/>
          <w:szCs w:val="24"/>
          <w:lang w:eastAsia="zh-CN"/>
        </w:rPr>
        <w:t>30</w:t>
      </w:r>
    </w:p>
    <w:p w14:paraId="3CAAAE07">
      <w:pPr>
        <w:snapToGrid w:val="0"/>
        <w:rPr>
          <w:sz w:val="28"/>
        </w:rPr>
      </w:pPr>
    </w:p>
    <w:p w14:paraId="518F1B1B">
      <w:pPr>
        <w:snapToGrid w:val="0"/>
        <w:rPr>
          <w:sz w:val="28"/>
        </w:rPr>
      </w:pPr>
    </w:p>
    <w:p w14:paraId="1591D364">
      <w:pPr>
        <w:snapToGrid w:val="0"/>
        <w:rPr>
          <w:sz w:val="28"/>
        </w:rPr>
      </w:pPr>
    </w:p>
    <w:p w14:paraId="2D536BA8">
      <w:pPr>
        <w:snapToGrid w:val="0"/>
        <w:rPr>
          <w:sz w:val="28"/>
        </w:rPr>
      </w:pPr>
    </w:p>
    <w:p w14:paraId="227AABAF">
      <w:pPr>
        <w:snapToGrid w:val="0"/>
        <w:rPr>
          <w:sz w:val="28"/>
        </w:rPr>
      </w:pPr>
    </w:p>
    <w:p w14:paraId="25FFFB0C">
      <w:pPr>
        <w:snapToGrid w:val="0"/>
        <w:rPr>
          <w:sz w:val="28"/>
        </w:rPr>
      </w:pPr>
    </w:p>
    <w:p w14:paraId="7BB33768">
      <w:pPr>
        <w:widowControl/>
        <w:suppressAutoHyphens w:val="0"/>
        <w:autoSpaceDE w:val="0"/>
        <w:spacing w:line="240" w:lineRule="auto"/>
        <w:jc w:val="center"/>
        <w:rPr>
          <w:rFonts w:ascii="楷体_GB2312" w:hAnsi="楷体_GB2312" w:eastAsia="楷体_GB2312"/>
          <w:kern w:val="0"/>
          <w:sz w:val="28"/>
          <w:szCs w:val="28"/>
          <w:lang w:eastAsia="zh-CN"/>
        </w:rPr>
      </w:pPr>
      <w:r>
        <w:rPr>
          <w:rFonts w:ascii="楷体_GB2312" w:hAnsi="楷体_GB2312" w:eastAsia="楷体_GB2312"/>
          <w:kern w:val="0"/>
          <w:sz w:val="28"/>
          <w:szCs w:val="28"/>
          <w:lang w:eastAsia="zh-CN"/>
        </w:rPr>
        <w:t>东软</w:t>
      </w:r>
      <w:r>
        <w:rPr>
          <w:rFonts w:hint="eastAsia" w:ascii="楷体_GB2312" w:hAnsi="楷体_GB2312" w:eastAsia="楷体_GB2312"/>
          <w:kern w:val="0"/>
          <w:sz w:val="28"/>
          <w:szCs w:val="28"/>
          <w:lang w:eastAsia="zh-CN"/>
        </w:rPr>
        <w:t>教育</w:t>
      </w:r>
    </w:p>
    <w:p w14:paraId="6F9C5A22">
      <w:pPr>
        <w:widowControl/>
        <w:suppressAutoHyphens w:val="0"/>
        <w:snapToGrid w:val="0"/>
        <w:spacing w:line="240" w:lineRule="auto"/>
        <w:jc w:val="center"/>
        <w:rPr>
          <w:rFonts w:ascii="黑体" w:hAnsi="黑体" w:eastAsia="黑体"/>
          <w:b/>
          <w:bCs/>
          <w:kern w:val="0"/>
          <w:sz w:val="28"/>
          <w:szCs w:val="28"/>
          <w:lang w:eastAsia="zh-CN"/>
        </w:rPr>
      </w:pPr>
      <w:r>
        <w:rPr>
          <w:rFonts w:ascii="黑体" w:hAnsi="黑体" w:eastAsia="黑体"/>
          <w:b/>
          <w:bCs/>
          <w:kern w:val="0"/>
          <w:sz w:val="28"/>
          <w:szCs w:val="28"/>
          <w:lang w:eastAsia="zh-CN"/>
        </w:rPr>
        <w:t>(版权所有，翻版必究)</w:t>
      </w:r>
    </w:p>
    <w:p w14:paraId="45A33358">
      <w:pPr>
        <w:widowControl/>
        <w:suppressAutoHyphens w:val="0"/>
        <w:spacing w:line="240" w:lineRule="auto"/>
        <w:jc w:val="center"/>
        <w:rPr>
          <w:rFonts w:eastAsia="黑体"/>
          <w:b/>
          <w:bCs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>Copyright © Neusoft Educational Information Technology Co., Ltd</w:t>
      </w:r>
    </w:p>
    <w:p w14:paraId="2548657A">
      <w:pPr>
        <w:widowControl/>
        <w:suppressAutoHyphens w:val="0"/>
        <w:spacing w:line="240" w:lineRule="auto"/>
        <w:jc w:val="center"/>
        <w:rPr>
          <w:rFonts w:ascii="黑体" w:eastAsia="黑体"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 xml:space="preserve"> All Rights Reserved</w:t>
      </w:r>
    </w:p>
    <w:p w14:paraId="06F9D1AE">
      <w:pPr>
        <w:snapToGrid w:val="0"/>
        <w:jc w:val="center"/>
        <w:rPr>
          <w:rFonts w:eastAsia="黑体"/>
          <w:sz w:val="44"/>
        </w:rPr>
      </w:pPr>
      <w:r>
        <w:rPr>
          <w:rFonts w:eastAsia="黑体"/>
          <w:sz w:val="44"/>
        </w:rPr>
        <w:br w:type="page"/>
      </w:r>
      <w:r>
        <w:rPr>
          <w:rFonts w:eastAsia="黑体"/>
          <w:sz w:val="44"/>
        </w:rPr>
        <w:t>文件修改控制</w:t>
      </w:r>
    </w:p>
    <w:tbl>
      <w:tblPr>
        <w:tblStyle w:val="2"/>
        <w:tblW w:w="8118" w:type="dxa"/>
        <w:tblInd w:w="276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747"/>
        <w:gridCol w:w="1992"/>
        <w:gridCol w:w="3961"/>
        <w:gridCol w:w="1418"/>
      </w:tblGrid>
      <w:tr w14:paraId="755101BA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43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CF9E845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修改编号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EA11F30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版本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B871274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修改条款及内容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DFAA4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修改日期</w:t>
            </w:r>
          </w:p>
        </w:tc>
      </w:tr>
      <w:tr w14:paraId="48713BE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34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06DCA49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F08B13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</w:t>
            </w:r>
            <w:r>
              <w:rPr>
                <w:rFonts w:ascii="楷体_GB2312" w:hAnsi="Arial" w:eastAsia="楷体_GB2312" w:cs="Arial"/>
                <w:lang w:eastAsia="zh-CN"/>
              </w:rPr>
              <w:t>0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.0-0.0.0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BCA063">
            <w:pPr>
              <w:jc w:val="left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创建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C5AEA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XXXX-XX-XX</w:t>
            </w:r>
          </w:p>
        </w:tc>
      </w:tr>
      <w:tr w14:paraId="658C2F1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41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F159A2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05E7B5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A3944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7B08E"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C6D095C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93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CC1683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156723C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9D5CF98">
            <w:pPr>
              <w:autoSpaceDE w:val="0"/>
              <w:snapToGrid w:val="0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4D6CD"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1E427533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C974392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66C604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FE2A88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01A6D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7AF64F7B"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D76A5D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5752D44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E256471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4DD49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EABFF9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E13A191"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A747192"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8D9CF3B"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C1036"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 w14:paraId="5DBC7A48"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9B591B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24CE9F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D729E0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3201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85A83F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C156851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4E91E8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6D46EA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813E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0A2553BD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E637814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686C17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7725A7D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A10FD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7FA5FC13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5801E67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DEE373A"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21D42E"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58764"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 w14:paraId="7CD60817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E471BB3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0FFB15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653AA15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01D7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65155B9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6FFED0B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C7A5A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886F1A7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04A7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2CEF895D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5017216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959E07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63A9C9D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753D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351EEDD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98B8206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8FB59CA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DFFA534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20D53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2B9053AB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77" w:hRule="atLeast"/>
        </w:trPr>
        <w:tc>
          <w:tcPr>
            <w:tcW w:w="747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990383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B9B44E4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6D1504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AF35B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</w:tbl>
    <w:p w14:paraId="2585B36D">
      <w:pPr>
        <w:widowControl/>
        <w:spacing w:before="390" w:after="150" w:line="540" w:lineRule="atLeast"/>
        <w:jc w:val="center"/>
        <w:outlineLvl w:val="0"/>
        <w:rPr>
          <w:rFonts w:hint="eastAsia" w:ascii="宋体" w:hAnsi="宋体" w:eastAsia="宋体" w:cs="宋体"/>
          <w:b/>
          <w:bCs/>
          <w:kern w:val="36"/>
          <w:sz w:val="42"/>
          <w:szCs w:val="42"/>
          <w:lang w:val="en-US" w:eastAsia="zh-CN"/>
        </w:rPr>
      </w:pPr>
    </w:p>
    <w:p w14:paraId="00492943">
      <w:pPr>
        <w:widowControl/>
        <w:spacing w:before="315" w:after="75" w:line="480" w:lineRule="atLeast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</w:p>
    <w:p w14:paraId="75FD394C">
      <w:pPr>
        <w:rPr>
          <w:rFonts w:hint="eastAsia" w:ascii="宋体" w:hAnsi="宋体" w:eastAsia="宋体"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br w:type="page"/>
      </w:r>
    </w:p>
    <w:p w14:paraId="695E4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经过对HIS系统的分析，本项目共设计了六个用户角色，</w:t>
      </w:r>
      <w:r>
        <w:rPr>
          <w:rFonts w:hint="eastAsia" w:ascii="宋体" w:hAnsi="宋体" w:eastAsia="宋体" w:cs="宋体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  <w:t>实现功能如下表所示，</w:t>
      </w:r>
    </w:p>
    <w:tbl>
      <w:tblPr>
        <w:tblStyle w:val="2"/>
        <w:tblW w:w="8284" w:type="dxa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9"/>
        <w:gridCol w:w="6945"/>
      </w:tblGrid>
      <w:tr w14:paraId="5BDE2B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1F1F1" w:themeFill="background1" w:themeFillShade="F2"/>
            <w:vAlign w:val="center"/>
          </w:tcPr>
          <w:p w14:paraId="3262CFB5"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角色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1F1F1" w:themeFill="background1" w:themeFillShade="F2"/>
            <w:vAlign w:val="center"/>
          </w:tcPr>
          <w:p w14:paraId="13C73237"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备注</w:t>
            </w:r>
          </w:p>
        </w:tc>
      </w:tr>
      <w:tr w14:paraId="78FFF7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52BCE04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挂号窗口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C8B59C7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使用者是窗口挂号人员，主要包含的功能有现场挂号与退号、收费与退费、患者收费信息的查询与管理。</w:t>
            </w:r>
          </w:p>
        </w:tc>
      </w:tr>
      <w:tr w14:paraId="14F3770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EC85795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门诊医生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6D498B7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使用者为门诊医生，涉及患者诊疗、开立检查检验项目，开立处方药治疗、开立处置治疗等</w:t>
            </w:r>
          </w:p>
        </w:tc>
      </w:tr>
      <w:tr w14:paraId="2F4A5F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B2B0E01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检查医生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DC525DD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使用者为检查科医师，涉及检查申请记录查看、检查详情查看、检查结果录入等（医生给患者根据病历要求患者进行的检查项：一般无比对标准，如B超）。</w:t>
            </w:r>
          </w:p>
        </w:tc>
      </w:tr>
      <w:tr w14:paraId="63FA2F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33FD2DA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检验医生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288C4FE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使用者为检验科医师，涉及检验申请记录查看、检验详情查看、检验结果录入等。（医生给患者根据病历要求患者进行的检验项：一般有比对标准，如血常规）</w:t>
            </w:r>
          </w:p>
        </w:tc>
      </w:tr>
      <w:tr w14:paraId="52C138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FF45298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处置医生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B11539B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使用者为处置科室医师，涉及处置申请记录查看、处置详情查看、处置结果录入等。（医生给患者根据病历要求患者进行的处置项：一般有治疗作用，如洗胃）</w:t>
            </w:r>
          </w:p>
        </w:tc>
      </w:tr>
      <w:tr w14:paraId="02586C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9A536DF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药房管理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236FB6E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使用者为药师，涉及药库信息管理、发药管理、退药管理、发退药信息查看。</w:t>
            </w:r>
          </w:p>
        </w:tc>
      </w:tr>
    </w:tbl>
    <w:p w14:paraId="3C4E4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</w:pPr>
    </w:p>
    <w:p w14:paraId="3FAA1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  <w:t>根据功能</w:t>
      </w:r>
      <w:r>
        <w:rPr>
          <w:rFonts w:hint="eastAsia" w:ascii="宋体" w:hAnsi="宋体" w:eastAsia="宋体"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为其对应规划了完整的功能菜单</w:t>
      </w:r>
      <w:r>
        <w:rPr>
          <w:rFonts w:ascii="宋体" w:hAnsi="宋体" w:eastAsia="宋体"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：</w:t>
      </w:r>
    </w:p>
    <w:p w14:paraId="7D54BA5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"https://cdn.nlark.com/yuque/0/2022/png/955151/1652607833390-aaa45094-05cc-42be-b381-30d2a6a558c1.png"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1760220" cy="3073400"/>
            <wp:effectExtent l="0" t="0" r="1905" b="317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8417" cy="308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367C83CD">
      <w:pPr>
        <w:widowControl/>
        <w:jc w:val="left"/>
        <w:rPr>
          <w:rFonts w:ascii="宋体" w:hAnsi="宋体" w:eastAsia="宋体" w:cs="宋体"/>
          <w:kern w:val="0"/>
        </w:rPr>
      </w:pPr>
    </w:p>
    <w:p w14:paraId="5F860CAF">
      <w:pPr>
        <w:widowControl/>
        <w:ind w:firstLine="480" w:firstLineChars="200"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根据权限，有6个不同的角色，32个业务功能，不同角色对应不同的业务功能菜单如下：</w:t>
      </w:r>
    </w:p>
    <w:tbl>
      <w:tblPr>
        <w:tblStyle w:val="2"/>
        <w:tblW w:w="5000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7238"/>
      </w:tblGrid>
      <w:tr w14:paraId="521DF4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D4EEFC"/>
            <w:vAlign w:val="center"/>
          </w:tcPr>
          <w:p w14:paraId="34A18A2A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</w:rPr>
              <w:t>角色名称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D4EEFC"/>
            <w:vAlign w:val="center"/>
          </w:tcPr>
          <w:p w14:paraId="343E3903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</w:rPr>
              <w:t>功能菜单</w:t>
            </w:r>
          </w:p>
        </w:tc>
      </w:tr>
      <w:tr w14:paraId="3F493F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229110E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挂号收费员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C8040F8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"https://cdn.nlark.com/yuque/0/2022/png/955151/1652945785845-98fda00d-c330-44e0-b04b-d05fad5082da.png"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2019300" cy="2707005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929" cy="2713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  <w:tr w14:paraId="48F9BB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81F00BC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门诊医生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86C2CA6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"https://cdn.nlark.com/yuque/0/2022/png/955151/1652945806315-916ce11f-4da4-4dd9-8e68-bfab6ae28d2f.png"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859915" cy="4826000"/>
                  <wp:effectExtent l="0" t="0" r="6985" b="317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778" cy="4842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  <w:tr w14:paraId="371A22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FADB107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检查医生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56D2466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"https://cdn.nlark.com/yuque/0/2022/png/955151/1652945819503-9c902d43-037c-43d5-905d-9a4121089d71.png"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816100" cy="1997710"/>
                  <wp:effectExtent l="0" t="0" r="3175" b="254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971" cy="1998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  <w:tr w14:paraId="4DBF6D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09C84B1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检验医生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F9B23F7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"https://cdn.nlark.com/yuque/0/2022/png/955151/1652945992025-6de69471-7471-4a56-bd49-3e65ad4c3397.png"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771650" cy="1960245"/>
                  <wp:effectExtent l="0" t="0" r="0" b="190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431" cy="1970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  <w:tr w14:paraId="4CB8981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3E844F2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药房管理员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0A9CA09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"https://cdn.nlark.com/yuque/0/2022/png/955151/1652946003463-862bb068-e7f1-444e-a96f-c29eef98d794.png"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885950" cy="2033905"/>
                  <wp:effectExtent l="0" t="0" r="0" b="444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824" cy="2046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  <w:tr w14:paraId="44468D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0B01FAB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处置医生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FBBD77C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"https://cdn.nlark.com/yuque/0/2022/png/955151/1652946014465-f27a6b8e-2365-4f96-b2c7-7049f7b99b02.png"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866900" cy="1994535"/>
                  <wp:effectExtent l="0" t="0" r="0" b="571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638" cy="200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</w:tbl>
    <w:p w14:paraId="36C1042F">
      <w:pPr>
        <w:widowControl/>
        <w:spacing w:before="315" w:after="75" w:line="480" w:lineRule="atLeast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1 原型设计：主线流程</w:t>
      </w:r>
    </w:p>
    <w:p w14:paraId="25CA5E2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本部分使用原型工具进行页面绘制，配合文档说明，确认每个界面功能。</w:t>
      </w:r>
    </w:p>
    <w:p w14:paraId="5F8B11A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"https://cdn.nlark.com/yuque/0/2022/jpeg/955151/1652930790160-cceeaff1-b619-4ba6-9991-50fca66dbb83.jpeg"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53012F2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1.1 挂号收费：窗口挂号</w:t>
      </w:r>
    </w:p>
    <w:p w14:paraId="5053B65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"https://cdn.nlark.com/yuque/0/2022/jpeg/955151/1652922854268-548c1ed7-b9e0-4181-a260-762bc9befa16.jpeg"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3687EFB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"https://cdn.nlark.com/yuque/0/2022/png/955151/1652861035273-64000800-e5c1-4aa8-a1fa-04c1e2428a2b.png"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090420"/>
            <wp:effectExtent l="0" t="0" r="6350" b="508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180428D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挂号收费员点击“窗口挂号”菜单；</w:t>
      </w:r>
    </w:p>
    <w:p w14:paraId="729F35B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2.. 系统进入现场挂号页面，自动生成“病历号”；</w:t>
      </w:r>
    </w:p>
    <w:p w14:paraId="60DB979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系统默认显示“看诊日期”为当前日期，午别为当前午别，该信息不可修改；</w:t>
      </w:r>
    </w:p>
    <w:p w14:paraId="6354A42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挂号收费员询问患者挂号级别、挂号科室；</w:t>
      </w:r>
    </w:p>
    <w:p w14:paraId="412B1E0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挂号收费员根据患者要求，选择对应的“挂号级别”、“挂号科室”；</w:t>
      </w:r>
    </w:p>
    <w:p w14:paraId="2E2BB78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6. 系统根据挂号级别显示挂号费；</w:t>
      </w:r>
    </w:p>
    <w:p w14:paraId="5E2D813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7. 系统根据挂号级别、挂号科室，读取相应科室、相应挂号级别、当前日期、当前午别的出诊医生；</w:t>
      </w:r>
    </w:p>
    <w:p w14:paraId="12C3623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8. 挂号收费员询问患者是否选择挂号医生；</w:t>
      </w:r>
    </w:p>
    <w:p w14:paraId="6C9BB12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9. 挂号收费员根据患者要求，选择对应的“医生”；</w:t>
      </w:r>
    </w:p>
    <w:p w14:paraId="2BE7B82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10. 挂号收费员录入患者基本信息，包括：患者姓名、性别、出生日期、年龄、结算类别、身份证号、家庭住址、是否要病历本；</w:t>
      </w:r>
    </w:p>
    <w:p w14:paraId="738F7BD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11. 挂号收费员在录入信息完毕后，单击“挂号”按钮，完成患者挂号；</w:t>
      </w:r>
    </w:p>
    <w:p w14:paraId="628DD2BF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1.2 门诊医生：患者查看</w:t>
      </w:r>
    </w:p>
    <w:p w14:paraId="75DAD0B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"https://cdn.nlark.com/yuque/0/2022/jpeg/955151/1652922862209-02c7b092-7ddf-4421-bcfa-88b79a22a7d9.jpeg"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6685C27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"https://cdn.nlark.com/yuque/0/2022/png/955151/1652861322100-1ef87a9b-cc36-4d4d-86e9-c6c1473672ed.png"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1701800"/>
            <wp:effectExtent l="0" t="0" r="6350" b="317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34821BE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门诊医生登录后，点击导航栏的“患者查看”；</w:t>
      </w:r>
    </w:p>
    <w:p w14:paraId="7E747FF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系统进入患者查看页面，顶部显示已经看诊人数和排队人数；</w:t>
      </w:r>
    </w:p>
    <w:p w14:paraId="565E494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3.显示登录医生对应挂号的患者列表，根据挂号时间排序分页显示；</w:t>
      </w:r>
    </w:p>
    <w:p w14:paraId="7A2CF55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门诊医生可以输入患者的病历号或姓名，进行“查询”；</w:t>
      </w:r>
    </w:p>
    <w:p w14:paraId="29CCE35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系统显示符合条件的患者列表；</w:t>
      </w:r>
    </w:p>
    <w:p w14:paraId="34399D0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门诊医生点击患者姓名后面的“创建病例“，开始看诊；</w:t>
      </w:r>
    </w:p>
    <w:p w14:paraId="2149E006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1.3 门诊医生：病例首页</w:t>
      </w:r>
    </w:p>
    <w:p w14:paraId="2A240EC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"https://cdn.nlark.com/yuque/0/2022/jpeg/955151/1652922874950-7515a275-d8d1-4a0a-af69-8f1bf8c00a0a.jpeg"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44580F3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"https://cdn.nlark.com/yuque/0/2022/png/955151/1652861742190-3e4a67f6-af59-4945-bd5f-80c04164d165.png"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982595"/>
            <wp:effectExtent l="0" t="0" r="6350" b="825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014D3EF4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门诊医生点击导航栏的“病例首页”，对”患者查看“页面选择的患者病例进行填写。页面顶部会显示医生选择的患者基本信息。</w:t>
      </w:r>
    </w:p>
    <w:p w14:paraId="0B74B51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2.门诊医生根据询问患者，在病历首页中填写：主诉、现病史、现病治疗情况、既往史、过敏史、体格检查；</w:t>
      </w:r>
    </w:p>
    <w:p w14:paraId="1752F6E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门诊医生进行初步诊断，选择患者疾病；</w:t>
      </w:r>
    </w:p>
    <w:p w14:paraId="64D734A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4.门诊医生填写检查\检验建议；</w:t>
      </w:r>
    </w:p>
    <w:p w14:paraId="2F0BD15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5.门诊医生填写完成后，点击保存完成患者病例首页的填写；</w:t>
      </w:r>
    </w:p>
    <w:p w14:paraId="736B7AC1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1.4 门诊医生：检查申请</w:t>
      </w:r>
    </w:p>
    <w:p w14:paraId="7D51312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"https://cdn.nlark.com/yuque/0/2022/jpeg/955151/1652922884337-1b3e40e9-68df-4816-8f14-5d4b47f6b783.jpeg"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2ED691E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"https://cdn.nlark.com/yuque/0/2022/png/955151/1652862319132-e1f09939-7e10-433f-befe-382e0b92d1fa.png"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336165"/>
            <wp:effectExtent l="0" t="0" r="6350" b="698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8A95AA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门诊医生点击“检查申请”</w:t>
      </w:r>
    </w:p>
    <w:p w14:paraId="1407E14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系统进入检查申请页面，在病历首页页面部分，显示该患者基本信息；</w:t>
      </w:r>
    </w:p>
    <w:p w14:paraId="0D596F2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门诊医生点击新增项目；</w:t>
      </w:r>
    </w:p>
    <w:p w14:paraId="3B0909C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系统弹出新增检查项目页面列表，页面包括检查编码、检查名称、检查规格、单价，门诊医生可以按检查编码和检查名称执行查询；</w:t>
      </w:r>
    </w:p>
    <w:p w14:paraId="64C8C10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门诊医生在查询结果中，选中要新增的检查项目前面的复选框，所有项目选中之后，点击“添加”按钮；</w:t>
      </w:r>
    </w:p>
    <w:p w14:paraId="04A20A0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6. 系统在检查申请页面，填入医生已经选择的项目；</w:t>
      </w:r>
    </w:p>
    <w:p w14:paraId="57686CC3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7. 门诊医生输入检查目的要求、检查部位、备注等；</w:t>
      </w:r>
    </w:p>
    <w:p w14:paraId="5C215F1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8. 门诊医生点击“申请提交”；</w:t>
      </w:r>
    </w:p>
    <w:p w14:paraId="0749BE90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1.5 挂号收费：收费</w:t>
      </w:r>
    </w:p>
    <w:p w14:paraId="33205F8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"https://cdn.nlark.com/yuque/0/2022/jpeg/955151/1652922894120-a4ca7fa8-ea1e-4655-bd57-284145d46e4d.jpeg"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BFE516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"https://cdn.nlark.com/yuque/0/2022/png/955151/1652862438468-63432bbe-6c58-4f2a-b6f6-0b941f996727.png"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1648460"/>
            <wp:effectExtent l="0" t="0" r="6350" b="889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6685CA8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挂号收费员点击“收费”；</w:t>
      </w:r>
    </w:p>
    <w:p w14:paraId="35B8D0C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系统进入患者收费页面；</w:t>
      </w:r>
    </w:p>
    <w:p w14:paraId="0E2D38C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 xml:space="preserve">3. 挂号收费员输入患者的“病历号”后点击”搜索“按钮； </w:t>
      </w:r>
    </w:p>
    <w:p w14:paraId="77E9159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系统查询出该患者的基本信息；</w:t>
      </w:r>
    </w:p>
    <w:p w14:paraId="43EF45F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挂号收费员确认患者姓名是否正确；</w:t>
      </w:r>
    </w:p>
    <w:p w14:paraId="4D5CAA7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6. 系统查询出该患者本次看诊的待缴费项目，并按项目开立时间时间降序排序；</w:t>
      </w:r>
    </w:p>
    <w:p w14:paraId="7705645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7. 挂号收费员确认患者本次缴纳哪些项目，选中相应项目前面的复选框；</w:t>
      </w:r>
    </w:p>
    <w:p w14:paraId="24E80D4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8. 系统自动计算出本次的缴费金额；</w:t>
      </w:r>
    </w:p>
    <w:p w14:paraId="7552B11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9. 挂号收费员点击“收费结算”按钮，完成收费；</w:t>
      </w:r>
    </w:p>
    <w:p w14:paraId="005FA336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1.6 检查管理：检查申请</w:t>
      </w:r>
    </w:p>
    <w:p w14:paraId="7004ED6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"https://cdn.nlark.com/yuque/0/2022/jpeg/955151/1652922901644-051bee11-4a8d-4e36-a574-2fd4e2372530.jpeg"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0814C81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"https://cdn.nlark.com/yuque/0/2022/png/955151/1652862723774-12497676-11ec-4c75-84e4-07e74d1e6adf.png"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068195"/>
            <wp:effectExtent l="0" t="0" r="6350" b="82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204CCE4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检查医生登录后，点击导航栏的“检查申请”；</w:t>
      </w:r>
    </w:p>
    <w:p w14:paraId="3D92754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系统进入检查申请查看页面，顶部显示已经检查人数和排队人数；</w:t>
      </w:r>
    </w:p>
    <w:p w14:paraId="36A9E57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3.显示等待检查的患者列表；</w:t>
      </w:r>
    </w:p>
    <w:p w14:paraId="2ED489F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门诊医生可以输入患者的病历号或姓名，进行“查询”；</w:t>
      </w:r>
    </w:p>
    <w:p w14:paraId="2ABE18C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系统显示符合条件的患者列表；</w:t>
      </w:r>
    </w:p>
    <w:p w14:paraId="59CA80A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门诊医生点击患者姓名后面的“进行检查“，检查登记完成；</w:t>
      </w:r>
    </w:p>
    <w:p w14:paraId="48B5B2F9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1.7 检查管理：患者录入</w:t>
      </w:r>
    </w:p>
    <w:p w14:paraId="7D9FD86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"https://cdn.nlark.com/yuque/0/2022/jpeg/955151/1652922909497-1f8d661d-048f-4fb8-94f0-80e25403a402.jpeg"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83E522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"https://cdn.nlark.com/yuque/0/2022/png/955151/1652862938233-22c38c74-2117-42b3-b434-7ca695976792.png"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046605"/>
            <wp:effectExtent l="0" t="0" r="6350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09E3189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检查医生点击导航栏的“患者录入”，对”检查申请“页面选择的患者的检查项目进行科室和医生的分配。页面顶部会显示医生选择的患者基本信息。</w:t>
      </w:r>
    </w:p>
    <w:p w14:paraId="6833DC2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2.系统会显示选择的患者所有等待检查的项目；</w:t>
      </w:r>
    </w:p>
    <w:p w14:paraId="2892C3C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检查医生点击对应项目后，表格下方会显示 已选择的检查项目名称；</w:t>
      </w:r>
    </w:p>
    <w:p w14:paraId="216E695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4.检查医生选择录入自己的科室和姓名，确认检查医生信息；</w:t>
      </w:r>
    </w:p>
    <w:p w14:paraId="23CAF3B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5.检查医生点击“开始检查”，患者检查录入完成；</w:t>
      </w:r>
    </w:p>
    <w:p w14:paraId="3BF54CB0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1.8 检查管理：检查结果录入</w:t>
      </w:r>
    </w:p>
    <w:p w14:paraId="4C8BCA2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"https://cdn.nlark.com/yuque/0/2022/jpeg/955151/1652922922424-ca1cbe50-95e9-4754-8279-f2a5224e793b.jpeg"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29D77903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"https://cdn.nlark.com/yuque/0/2022/png/955151/1652863234574-9a529b90-2699-4713-9ed3-306d4ad0a05a.png"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145030"/>
            <wp:effectExtent l="0" t="0" r="635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4A4A341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检查医生点击导航栏的“检查结果录入”。页面显示患者信息；检查医生可以根据患者病历号和患者姓名，进行搜索患者。</w:t>
      </w:r>
    </w:p>
    <w:p w14:paraId="1BBC511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2.检查医生点击患者信息后端的“已完成检查”按钮，会显示该患者所有已经完成的检查项目；</w:t>
      </w:r>
    </w:p>
    <w:p w14:paraId="227E80F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检查医生点击对应项目后，表格下方会显示 已选择的检查项目名称；</w:t>
      </w:r>
    </w:p>
    <w:p w14:paraId="6A267FB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4.检查医生选择录入自己的科室和姓名，确认结果录入医生信息；</w:t>
      </w:r>
    </w:p>
    <w:p w14:paraId="61FF40B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5.检查医生录入检查结果；</w:t>
      </w:r>
    </w:p>
    <w:p w14:paraId="18636CA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6.检查医生点击“结果提交”完成检查结果录入</w:t>
      </w:r>
    </w:p>
    <w:p w14:paraId="394BFBEA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1.9 门诊医生：看诊记录</w:t>
      </w:r>
    </w:p>
    <w:p w14:paraId="330C112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"https://cdn.nlark.com/yuque/0/2022/png/955151/1652863597903-785493ab-fa4b-4e05-9e25-1c1dd9e9ebab.png"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254250"/>
            <wp:effectExtent l="0" t="0" r="6350" b="31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0FAFA8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门诊医生点击导航栏的“看诊记录”；</w:t>
      </w:r>
    </w:p>
    <w:p w14:paraId="676911E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系统进入患者继续看诊选择页面；</w:t>
      </w:r>
    </w:p>
    <w:p w14:paraId="44E1ED64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3.显示登录医生对应已经看诊的患者列表；</w:t>
      </w:r>
    </w:p>
    <w:p w14:paraId="2A5D00E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门诊医生可以输入患者的病历号或姓名，进行“查询”；</w:t>
      </w:r>
    </w:p>
    <w:p w14:paraId="4CF957A4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系统显示符合条件的患者列表；</w:t>
      </w:r>
    </w:p>
    <w:p w14:paraId="14A41CB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门诊医生点击患者姓名后面的“更新病例“，开始对已出检查结果的患者继续看诊；</w:t>
      </w:r>
    </w:p>
    <w:p w14:paraId="76EEBF7E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1.10 门诊医生：查看检查结果</w:t>
      </w:r>
    </w:p>
    <w:p w14:paraId="4035404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"https://cdn.nlark.com/yuque/0/2022/jpeg/955151/1652922950045-77482d16-1187-40a0-af4a-68ea077ee670.jpeg"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55EEE4A3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fldChar w:fldCharType="begin"/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instrText xml:space="preserve"> INCLUDEPICTURE "https://cdn.nlark.com/yuque/0/2022/png/955151/1652863779862-2fc45786-3bad-4624-b03d-0abd8ce19297.png" \* MERGEFORMATINET </w:instrText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fldChar w:fldCharType="separate"/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drawing>
          <wp:inline distT="0" distB="0" distL="0" distR="0">
            <wp:extent cx="5270500" cy="2137410"/>
            <wp:effectExtent l="0" t="0" r="635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fldChar w:fldCharType="end"/>
      </w:r>
    </w:p>
    <w:p w14:paraId="48C6380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门诊医生点击导航栏的“检查结果”，对”看诊记录“页面选择的患者的检查结果进行查看。页面顶部会显示医生选择的患者基本信息。</w:t>
      </w:r>
    </w:p>
    <w:p w14:paraId="776127B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2.系统会显示选择的患者的已经出结果的检查项目；</w:t>
      </w:r>
    </w:p>
    <w:p w14:paraId="653D348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门诊医生选择检查项目，会看到检查的结果；</w:t>
      </w:r>
    </w:p>
    <w:p w14:paraId="7815F157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1.11 门诊医生：门诊确诊</w:t>
      </w:r>
    </w:p>
    <w:p w14:paraId="7CD89AE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"https://cdn.nlark.com/yuque/0/2022/png/955151/1652864000763-225d8470-f25c-4734-8826-c1bf759c87af.png"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146935"/>
            <wp:effectExtent l="0" t="0" r="6350" b="571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1CBC6DE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门诊医生点击导航栏的“门诊确诊”，对”看诊记录“页面选择的患者录入诊断结果和处理意见。</w:t>
      </w:r>
    </w:p>
    <w:p w14:paraId="03D1483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门诊医生选择“确诊提交”，完成患者的病历确诊部分内容填写；</w:t>
      </w:r>
    </w:p>
    <w:p w14:paraId="0ECBD473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1.12 门诊医生：开设处方</w:t>
      </w:r>
    </w:p>
    <w:p w14:paraId="3CA2064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"https://cdn.nlark.com/yuque/0/2022/jpeg/955151/1652922979932-54dd556b-5df6-48db-94e0-fcfe1820d4f9.jpeg"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2ED7F57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"https://cdn.nlark.com/yuque/0/2022/png/955151/1652864126136-a4e45e3f-6f2d-4af2-815f-e1e748366683.png"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373630"/>
            <wp:effectExtent l="0" t="0" r="635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2DEF9824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"https://cdn.nlark.com/yuque/0/2022/png/955151/1652864175199-239b0456-71ff-4c63-9ca4-3ca1bd425fec.png"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179320"/>
            <wp:effectExtent l="0" t="0" r="6350" b="19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5BAC575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"https://cdn.nlark.com/yuque/0/2022/png/955151/1652864626534-c271bae7-63a1-4c6f-b556-4da28c929508.png"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329180"/>
            <wp:effectExtent l="0" t="0" r="6350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DA0BD7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1、 门诊医生点击导航栏的“开设处方”，进入处方界面，点击“增加”。</w:t>
      </w:r>
    </w:p>
    <w:p w14:paraId="1A92466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2、 系统弹出“搜索药品界面”</w:t>
      </w:r>
    </w:p>
    <w:p w14:paraId="78A440D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3、 门诊医生输入药品信息（药品编码、药品名称等）后，点击“查询”按钮，查询药品信息</w:t>
      </w:r>
    </w:p>
    <w:p w14:paraId="5057C33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4、 系统显示符合条件的药品列表</w:t>
      </w:r>
    </w:p>
    <w:p w14:paraId="51E8991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5、 门诊医生选择所需药品，点击确定，添加药品到处方中</w:t>
      </w:r>
    </w:p>
    <w:p w14:paraId="634653E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6、 关闭药品选择对话框，界面显示医生已经选择的药品内容。</w:t>
      </w:r>
    </w:p>
    <w:p w14:paraId="1C0DE6D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7、 门诊医生对药品输入：用法、用量、频次、使用天数、用药嘱托等医嘱信息；输入药品数量</w:t>
      </w:r>
    </w:p>
    <w:p w14:paraId="5C5D8DB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8、 门诊医生可以多次添加药品或删除药品；添加完药品后，门诊医生点击开立处方，完成处方开立。</w:t>
      </w:r>
    </w:p>
    <w:p w14:paraId="0C135804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9、 在主界面中，会有处方金额合计，根据数量改变会自动改变</w:t>
      </w:r>
    </w:p>
    <w:p w14:paraId="5D244873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10、点击每个药品，下拉列表显示药品的详细信息（药品编码、包装单位、生产厂家、药剂类型等）</w:t>
      </w:r>
    </w:p>
    <w:p w14:paraId="53FC4A0E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1.13 药房管理：药房发药</w:t>
      </w:r>
    </w:p>
    <w:p w14:paraId="10B1D29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"https://cdn.nlark.com/yuque/0/2022/jpeg/955151/1652923219028-d357db97-0e65-486c-bdfc-d6ddc80ecf5a.jpeg"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10E93DC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"https://cdn.nlark.com/yuque/0/2022/png/955151/1652923204790-d3777a91-c4ff-4007-b835-b069f1230b33.png"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054860"/>
            <wp:effectExtent l="0" t="0" r="635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5EF3E15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1、 发药员点击导航栏的“药房发药”链接。</w:t>
      </w:r>
    </w:p>
    <w:p w14:paraId="4D18D5F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2、 系统查询并在左侧显示待发药患者列表界面，查询条件包括：病历号、患者姓名；默认状态为“未发”（其他状态：已发、已退、全部）</w:t>
      </w:r>
    </w:p>
    <w:p w14:paraId="4CD46AB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3、 发药员输入查询信息，点击“查询”</w:t>
      </w:r>
    </w:p>
    <w:p w14:paraId="0C10065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4、 系统显示符合条件的患者列表</w:t>
      </w:r>
    </w:p>
    <w:p w14:paraId="5DCF1E9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5、 发药员选择对应患者</w:t>
      </w:r>
    </w:p>
    <w:p w14:paraId="6DD5D73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6、 系统显示出该患者的待发药品信息，显示在界面上</w:t>
      </w:r>
    </w:p>
    <w:p w14:paraId="3FAED1B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7、 发药员点击“发药”按钮。</w:t>
      </w:r>
    </w:p>
    <w:p w14:paraId="30B141A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8、 完毕后会提示发药成功的信息。</w:t>
      </w:r>
    </w:p>
    <w:p w14:paraId="1B30CFD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9、 发药员给患者药品</w:t>
      </w:r>
    </w:p>
    <w:p w14:paraId="3AA2C7C5">
      <w:pPr>
        <w:widowControl/>
        <w:spacing w:before="315" w:after="75" w:line="480" w:lineRule="atLeast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2 原型设计：其他功能：</w:t>
      </w:r>
    </w:p>
    <w:p w14:paraId="11D6A7C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"https://cdn.nlark.com/yuque/0/2022/jpeg/955151/1652930956711-ac8f1e7b-33ac-477c-a60e-3efb7ade6101.jpeg"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2EF8DFA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2.1、门诊挂号：退费</w:t>
      </w:r>
    </w:p>
    <w:p w14:paraId="6B26A65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"https://cdn.nlark.com/yuque/0/2022/png/955151/1652931337609-90951d24-79b4-4c31-82d6-f0d2dab0f3f8.png"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644775"/>
            <wp:effectExtent l="0" t="0" r="6350" b="31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376EECC0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这是“东软云医院HIS系统”的**窗口退费**界面： - **顶部导航栏**：左侧显示系统名称，右侧有“Neuedu”标识及用户“root”。 - **左侧功能菜单**：处于“挂号收费”模块下，包含“窗口挂号”“窗口退号”“收费”“退费”“费用记录查询”等功能，同时可见“门诊医生”“检查管理”等其他模块入口。 - **中间主界面**： - **患者信息查询**：可通过“病历号”（输入框提示“请输入病历号”）或“患者名”（已填“梦琪”）搜索，右侧有“搜索”按钮。 - **患者信息确认**：显示患者“梦琪”的身份证号、年龄（23）、性别（女），并提供“项目金额：20.72元”“退费结算”按钮。 - **退费项目列表**：表格列有“项目名称”“单价”“类型”“规格”“数量”“开立时间”，包含“冠心丹参滴丸”“参芪益气滴丸”两个药品项目，标注了各自的单价、规格、数量及开立时间（2022-05-17）。</w:t>
      </w:r>
    </w:p>
    <w:p w14:paraId="44C8D8AF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2.2、门诊挂号：退号</w:t>
      </w:r>
    </w:p>
    <w:p w14:paraId="682D9381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"https://cdn.nlark.com/yuque/0/2022/png/955151/1652931374061-aca7e57e-6c29-4b2f-a5e8-4dcd79d80880.png"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794000"/>
            <wp:effectExtent l="0" t="0" r="635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721C9D1F">
      <w:pPr>
        <w:widowControl/>
        <w:spacing w:before="150" w:after="75" w:line="360" w:lineRule="atLeast"/>
        <w:jc w:val="left"/>
        <w:outlineLvl w:val="3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 - **顶部导航栏**：左侧显示系统名称“东软云医院HIS系统”，右侧有“Neuedu”标识及当前用户“root”。 - **左侧功能菜单**：处于“挂号收费”模块下，“窗口退号”被选中（蓝色高亮），同模块还有“窗口挂号”“收费”“退费”“费用记录查询”等功能；下方还列出“门诊医生”“检查管理”“检验管理”“药房管理”“处置管理”等其他模块入口。 - **中间主界面**： - 上方为查询区域，含“请输入患者病历号”“请输入患者姓名”两个输入框，右侧有“搜索”按钮。 - 下方是患者列表，列有**编号、患者病历号、患者姓名、性别、身份证号、付款方式、操作**等信息。列表展示7条患者记录，如“亿柳（病历号1000014，付款方式现金）”“赵三（病历号1000012，付款方式医保卡）”等，每条记录的“操作”列均有“退号”按钮，可执行退号操作。</w:t>
      </w:r>
    </w:p>
    <w:p w14:paraId="3780A537">
      <w:pPr>
        <w:widowControl/>
        <w:spacing w:before="240" w:after="75" w:line="420" w:lineRule="atLeast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kern w:val="0"/>
          <w:sz w:val="30"/>
          <w:szCs w:val="30"/>
        </w:rPr>
        <w:t>2.3、门诊挂号：费用记录查询</w:t>
      </w:r>
    </w:p>
    <w:p w14:paraId="5D4EF14A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"https://cdn.nlark.com/yuque/0/2022/png/955151/1652931405131-f8350994-a9e9-4db1-ac26-d5134795d637.png"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352040"/>
            <wp:effectExtent l="0" t="0" r="6350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243DAA22">
      <w:pPr>
        <w:widowControl/>
        <w:spacing w:before="150" w:after="75" w:line="360" w:lineRule="atLeast"/>
        <w:jc w:val="left"/>
        <w:outlineLvl w:val="3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 - **顶部导航栏**：左侧显示系统名称“东软云医院HIS系统”，右侧有“Neuedu”标识及当前用户“root”。 - **左侧功能菜单**：处于“挂号收费”模块下，“费用记录查询”被选中（蓝色高亮）；同模块还有“窗口挂号”“窗口退号”“收费”“退费”等功能，下方还列出“门诊医生”“检查管理”“检验管理”“药房管理”“处置管理”等其他模块入口。 - **中间主界面**： - **患者信息查询**：含“病历号”输入框（提示“请输入病历号”）、“患者名”输入框（已填“梦琪”），右侧有蓝色“搜索”按钮。 - **患者信息确认**：显示患者“梦琪”的身份证号“123123200102071234”、年龄“23”、性别“女”，并标注“项目金额：51.83元”。 - **费用项目列表**：表格列有“项目名称”“单价”“类型”“规格”“数量”“开立时间”“状态”，展示了“普通动感影诊术”（单价31.08，类型检查，状态“执行完成”）、“冠心丹参滴丸”（单价12.92，类型药品，状态“已缴费”）、“参芪益气滴丸”（单价7.83，类型药品，状态“已缴费”）等项目的详细信息。</w:t>
      </w:r>
    </w:p>
    <w:p w14:paraId="388B9A92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kern w:val="0"/>
          <w:sz w:val="30"/>
          <w:szCs w:val="30"/>
        </w:rPr>
        <w:t>2.4、门诊医生：</w:t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t>开立检验</w:t>
      </w:r>
    </w:p>
    <w:p w14:paraId="5EB5A216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"https://cdn.nlark.com/yuque/0/2022/png/955151/1652931466429-a631bc8e-0040-40b0-935a-6f644eaa1d30.png"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732405"/>
            <wp:effectExtent l="0" t="0" r="635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7C5AA9D9">
      <w:pPr>
        <w:widowControl/>
        <w:spacing w:before="150" w:after="75" w:line="360" w:lineRule="atLeast"/>
        <w:jc w:val="left"/>
        <w:outlineLvl w:val="3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左侧为“门诊医生”模块的功能菜单，包含“患者查看”“医生诊疗：处方首页”“医生诊疗：检查申请”“医生诊疗：检验申请”（当前选中，蓝色高亮）等多项诊疗相关功能。 右侧是“检验申请”界面，顶部显示患者信息：姓名赵三，病历号1000012，年龄22，性别男。界面内标注“项目金额：0元”，下方表格设有“检验编码”“检验名称”“检验规格”“单价”“费用分类”列，附带“删除”“增加”按钮，表格显示“暂无数据”。下方“医嘱”区域有“目的要求”“检验部位”“备注”三个输入框，分别提示“请输入检验目的要求”“请输入检验部位”“请输入检验事项”。</w:t>
      </w:r>
    </w:p>
    <w:p w14:paraId="79181808">
      <w:pPr>
        <w:widowControl/>
        <w:spacing w:before="240" w:after="75" w:line="420" w:lineRule="atLeast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kern w:val="0"/>
          <w:sz w:val="30"/>
          <w:szCs w:val="30"/>
        </w:rPr>
        <w:t>2.5、门诊医生：开立处置</w:t>
      </w:r>
    </w:p>
    <w:p w14:paraId="2C5ED648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"https://cdn.nlark.com/yuque/0/2022/png/955151/1652931485802-5097b2d3-cfb5-4ad9-bf82-d33ac2750c1d.png"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797810"/>
            <wp:effectExtent l="0" t="0" r="635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3FB8044D">
      <w:pPr>
        <w:widowControl/>
        <w:spacing w:before="150" w:after="75" w:line="360" w:lineRule="atLeast"/>
        <w:jc w:val="left"/>
        <w:outlineLvl w:val="3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左侧为“门诊医生”模块的功能菜单，包含“患者查看”“医生诊疗：病历首页”“医生诊疗：检查申请”等多项诊疗相关功能，其中“医生诊疗：处置申请”处于选中状态（蓝色高亮）。 右侧是“处置申请”界面，顶部显示患者信息：姓名赵三、病历号1000012、年龄22、性别男。界面内标注“项目金额：0元”，下方表格设有“处置编码”“处置名称”“处置规格”“单价”“费用分类”列，附带“删除”“增加”按钮，表格显示“暂无数据”。下方“医嘱”区域有“目的要求”“检验部位”“备注”三个输入框，分别提示“请输入检验目的要求”“请输入检验部位”“请输入检验事项”。</w:t>
      </w:r>
    </w:p>
    <w:p w14:paraId="4D4F46DF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kern w:val="0"/>
          <w:sz w:val="30"/>
          <w:szCs w:val="30"/>
        </w:rPr>
        <w:t>2.6、检查医生：检查管理</w:t>
      </w:r>
    </w:p>
    <w:p w14:paraId="755EB41F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"https://cdn.nlark.com/yuque/0/2022/png/955151/1652931526154-5e773ead-5be8-40c9-933f-efaee68b7d02.png"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642870"/>
            <wp:effectExtent l="0" t="0" r="635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126CAC15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左侧功能菜单中，“检查管理”模块下的“检查管理”处于选中状态（蓝色高亮），同模块还有“检查申请”“结果录入”等功能，同时可见“检验管理”“药房管理”等其他模块入口。 顶部是蓝色导航栏，左侧显示“东软云医院HIS系统”，右侧有“Neuedu”标识及用户“root”。 中间主界面为“检查项目查看”：上方有“请输入患者病历号”“请输入患者姓名”输入框与“搜索”按钮；中间是患者列表，列有编号、患者姓名、病历号、年龄、性别等信息，每条记录右侧有“检查项目”按钮；下方是项目列表，展示“X线计算机体层(CT)成像”等项目，包含单价、类型、状态（如“已出结果”）、开立时间等信息。</w:t>
      </w:r>
    </w:p>
    <w:p w14:paraId="4D3104AB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2.7、检验医生：患者叫号</w:t>
      </w:r>
    </w:p>
    <w:p w14:paraId="6C8CF440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"https://cdn.nlark.com/yuque/0/2022/png/955151/1652931548770-8b68cbbc-91db-401e-bf3e-3b3b91a24f53.png"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282825"/>
            <wp:effectExtent l="0" t="0" r="635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36A0DF63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 左侧功能菜单中，“检验管理”模块下的“检验申请”被选中（蓝色高亮），同模块还有“患者录入”“检验结果录入”“检验管理”等功能；同时可见“挂号收费”“门诊医生”“检查管理”“药房管理”“处置管理”等其他模块入口。 - 顶部为蓝色导航栏，左侧显示系统名称“东软云医院HIS系统”，右侧有“Neuedu”标识及当前用户“root”。 - 中间主界面：上方有“请输入患者病历号”“请输入患者姓名”两个输入框，右侧配“搜索”按钮；下方表格列有“编号”“患者姓名”“患者病历号”“操作”，当前显示1条记录（患者“亿柳”，病历号1000014），“操作”栏提供“进行检验”“跳过”“叫号”按钮；底部有分页控件，显示当前为第1页。</w:t>
      </w:r>
    </w:p>
    <w:p w14:paraId="76833D2C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2.8、检验医生：执行检验</w:t>
      </w:r>
    </w:p>
    <w:p w14:paraId="23CEBFFD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"https://cdn.nlark.com/yuque/0/2022/png/955151/1652931580672-52a4be79-b08a-44bf-8857-e2cc23aa6da9.png"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324735"/>
            <wp:effectExtent l="0" t="0" r="635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0D3F54D3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左侧功能菜单中，“检验管理”模块下的“患者录入”被选中（蓝色高亮），同模块还有“检验申请”“检验结果录入”“检验管理”等功能；同时可见“挂号收费”“门诊医生”“检查管理”“药房管理”“处置管理”等其他模块入口。 - 顶部为蓝色导航栏，左侧显示系统名称“东软云医院HIS系统”，右侧有“Neuedu”标识及当前用户“root”。 - 中间区域： - 顶部显示患者信息：姓名“亿柳”、病历号“1000014”、年龄“22”、性别“男”。 - “检验项目”板块：表格包含“检验编码”“检验名称”“检验规格”“单价”“费用分类”列，显示“暂无数据”，并标注“已选择的检验项目：”。 - “确认检验科室和检验医生”部分：设有“科室选择”“医生选择”下拉框，以及“开始检验”“重置医生”两个蓝色操作按钮</w:t>
      </w: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。</w:t>
      </w:r>
    </w:p>
    <w:p w14:paraId="4DA82241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2.9、检验医生：录入检验结果</w:t>
      </w:r>
    </w:p>
    <w:p w14:paraId="4636ED2E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"https://cdn.nlark.com/yuque/0/2022/png/955151/1652931594109-962b6275-f304-4e71-a7ce-4bba42c01562.png"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715260"/>
            <wp:effectExtent l="0" t="0" r="635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6BD29C5A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左侧功能菜单中，“检验管理”模块下的“检验结果录入”处于选中状态（蓝色高亮），同模块还有“检验申请”“患者录入”“检验管理”等功能；同时可见“挂号收费”“门诊医生”“检查管理”“药房管理”“处置管理”等其他模块入口。 顶部为蓝色导航栏，左侧显示“东软云医院HIS系统”，右侧有“Neuedu”标识及当前用户“root”。 中间主界面为“检验结果录入”：上方设有“请输入患者病历号”“请输入患者姓名”输入框与“搜索”按钮；中间表格列有“编号”“患者姓名”“患者病历号”“操作”，显示“暂无数据”；下方表格包含“检查编码”“检查名称”“检查规格”“单价”“费用分类”列，同样显示“暂无数据”，并标注“已选择的检查项目：”；最下方是“选择输入检验医生”区域，配有“科室选择”“医生选择”下拉框。</w:t>
      </w:r>
    </w:p>
    <w:p w14:paraId="4435E82F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2.10、检验医生：检验管理</w:t>
      </w:r>
    </w:p>
    <w:p w14:paraId="6319312F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"https://cdn.nlark.com/yuque/0/2022/png/955151/1652931607094-c870c031-84ed-40ab-b689-5b904e3287c6.png"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660015"/>
            <wp:effectExtent l="0" t="0" r="635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1570DE94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左侧功能菜单中，“检验管理”模块下的“检验管理”处于选中状态（蓝色高亮），同模块还有“检验申请”“患者录入”“检验结果录入”等功能；同时可见“挂号收费”“门诊医生”“检查管理”“药房管理”“处置管理”等其他模块入口。 顶部为蓝色导航栏，左侧显示“东软云医院HIS系统”，右侧有“Neuedu”标识及当前用户“root”。 中间主界面为“检验项目查看”：上方设有“请输入患者病历号”“请输入患者姓名”输入框与“搜索”按钮；下方表格列有“编号”“患者姓名”“患者病历号”“患者年龄”“患者性别”，每条记录右侧配有蓝色“检验项目”按钮。表格共展示9条患者记录（如“梦琪，病历号1000013，23岁，女”“亿柳，病历号1000014，22岁，男”等）；底部有分页控件，显示当前为第1页。</w:t>
      </w:r>
    </w:p>
    <w:p w14:paraId="5880B74F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2.11、药库管理：退药</w:t>
      </w:r>
    </w:p>
    <w:p w14:paraId="5D05265E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"https://cdn.nlark.com/yuque/0/2022/png/955151/1652931621395-41d4369d-02a0-4463-964a-160b4c334467.png"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354580"/>
            <wp:effectExtent l="0" t="0" r="635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02A9876E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左侧功能菜单中，“药房管理”模块下的“药房退药”处于选中状态（蓝色高亮），同模块还有“药房发药”“药库管理”“交易记录”等功能；同时可见“挂号收费”“门诊医生”“检查管理”“检验管理”“处置管理”等其他模块入口。 顶部为蓝色导航栏，左侧显示“东软云医院HIS系统”，右侧有“Neuedu”标识及当前用户“root”。 中间主界面为“退药”功能：上方设有“请输入患者病历号”“请输入患者姓名”输入框与“搜索”按钮；中间表格列有“编号”“患者姓名”“患者病历号”“患者年龄”“患者性别”，当前展示2条患者记录（赵三，病历号1000012，22岁，男；张四，病历号1000008，20岁，男），每条记录右侧配有“显示药品”按钮；下方药品信息表格包含“药品编码”“药品名称”“药品规格”“包装单位”“生产厂家”“单价”“药品数量”等列，显示“暂无数据”</w:t>
      </w: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。</w:t>
      </w:r>
    </w:p>
    <w:p w14:paraId="299DC7BB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2.12、药库管理：药品管理</w:t>
      </w:r>
    </w:p>
    <w:p w14:paraId="250413C6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"https://cdn.nlark.com/yuque/0/2022/png/955151/1652931661869-7ddc0f11-4ca0-4e8e-94de-20b4bc585beb.png"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987040"/>
            <wp:effectExtent l="0" t="0" r="635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3EC4BF2B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这是东软云医院HIS系统的**药库管理**界面： - **左侧功能菜单**：“药房管理”模块下的“药库管理”被选中（蓝色高亮），同模块还包含“药房发药”“药房退药”“交易记录”等功能；同时可见“挂号收费”“门诊医生”“检查管理”“检验管理”“处置管理”等其他模块入口。 - **顶部区域**：蓝色导航栏显示系统名称“东软云医院HIS系统”。 - **中间操作区**： - 上方有三个搜索框（“请输入药品编号”“请输入拼音简码”“请输入药品名称”）和“搜索”按钮，还设有“增加药品”蓝色功能按钮，用于新增药品信息。 - 下方是药品列表表格，列有**药品编码、药品名称、药品规格、包装单位、生产厂家、单价**等信息，每条药品记录右侧配有“修改”“删除”按钮，支持对单条药品信息的编辑或删除操作。表格当前展示10条药品（如“注射用甲泼尼龙”“氟康唑氯化钠注射液(大扶康)”等），底部分页控件显示当前为第1页，总页数达297页，可进行分页浏览。 该界面主要用于医院药库的药品信息管理（查询、新增、修改、删除等操作）</w:t>
      </w: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。</w:t>
      </w:r>
    </w:p>
    <w:p w14:paraId="2877474E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2.13、药库管理：交易记录</w:t>
      </w:r>
    </w:p>
    <w:p w14:paraId="02F753E8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"https://cdn.nlark.com/yuque/0/2022/png/955151/1652931681429-46131a71-dc3c-479c-98fd-7be90d13a618.png"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699385"/>
            <wp:effectExtent l="0" t="0" r="635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7DF4BE60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左侧功能菜单中，“药房管理”模块下的“交易记录”处于选中状态（蓝色高亮），同模块还有“药房发药”“药房退药”“药库管理”等功能；同时可见“挂号收费”“门诊医生”“检查管理”“检验管理”“处置管理”等其他模块入口。 顶部为蓝色导航栏，左侧显示“东软云医院HIS系统”，右侧有“Neuedu”标识及当前用户“root”。 中间主界面为“交易记录”功能：上方设有“请输入患者病历号”“请输入患者姓名”输入框与“搜索”按钮；下方表格列有“编号”“患者姓名”“患者病历号”“患者年龄”“患者性别”，每条记录右侧配有蓝色“费用详情”按钮。表格共展示9条患者记录（如“梦琪，病历号1000013，23岁，女”“亿柳，病历号1000014，22岁，男”等）；底部有分页控件，显示当前为第1页。</w:t>
      </w:r>
    </w:p>
    <w:p w14:paraId="5ECE9E11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</w:p>
    <w:p w14:paraId="3792D109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2.15、处置医生：执行处置</w:t>
      </w:r>
    </w:p>
    <w:p w14:paraId="166A1E77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"https://cdn.nlark.com/yuque/0/2022/png/955151/1652931706613-100f7cc5-e154-42fb-bbdb-d0012368b328.png"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345055"/>
            <wp:effectExtent l="0" t="0" r="635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17A27541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左侧功能菜单中，“处置管理”模块下的“患者录入”处于选中状态（蓝色高亮），同模块还有“处置申请”“处置录入”“处置管理”等功能；同时可见“挂号收费”“门诊医生”“检查管理”“检验管理”“药房管理”等其他模块入口。 顶部蓝色导航栏，左侧显示“东软云医院HIS系统”，右侧有“Neuedu”标识及当前用户“root”，中间有红色提示“请先选择患者”。 中间主界面围绕“处置项目”展开：患者信息区域展示“姓名、病历号、年龄、性别”字段（暂未选择具体患者）；“处置项目”表格包含“处置编码”“处置名称”“处置规格”“单价”“费用分类”列，显示“暂无数据”，并标注“已选择的处置项目：”；下方“确认处置科室和处置医生”区域，设有“科室选择”“医生选择”下拉框，以及“开始处置”“重置医生”两个蓝色操作按钮。</w:t>
      </w:r>
    </w:p>
    <w:p w14:paraId="001F66B1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2.16、处置医生：录入处置结果</w:t>
      </w:r>
    </w:p>
    <w:p w14:paraId="4FB35543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"https://cdn.nlark.com/yuque/0/2022/png/955151/1652931719919-e70eda78-c640-4dd6-ab8f-2962cb1dcc17.png"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756535"/>
            <wp:effectExtent l="0" t="0" r="635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17C6BEBA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左侧功能菜单中，“处置管理”模块下的“处置录入”处于选中状态（蓝色高亮），同模块还有“处置申请”“患者录入”“处置管理”等功能；同时可见“挂号收费”“门诊医生”“检查管理”“检验管理”“药房管理”等其他模块入口。 顶部为蓝色导航栏，左侧显示“东软云医院HIS系统”，右侧有“Neuedu”标识及当前用户“root”。 中间主界面为“处置结果录入”功能：上方设有“请输入患者病历号”“请输入患者姓名”输入框与“搜索”按钮；中间患者表格列有“编号”“患者姓名”“患者病历号”“患者年龄”“患者性别”，显示“暂无数据”；下方处置项目表格包含“处置编码”“处置名称”“处置时间”“单价”“费用分类”列，同样显示“暂无数据”，并标注“已选择的处置项目：”；最下方是“选择输入处置结果的医生”区域，配有“科室选择”“医生选择”下拉框，且有“输入处置结果”的提示。</w:t>
      </w:r>
    </w:p>
    <w:p w14:paraId="2DDAD7B0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2.17、处置医生：处置管理</w:t>
      </w:r>
    </w:p>
    <w:p w14:paraId="3F9155D3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"https://cdn.nlark.com/yuque/0/2022/png/955151/1652931733417-42a9cf04-86ea-4f14-80d3-984f2bf84ca4.png"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693670"/>
            <wp:effectExtent l="0" t="0" r="635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4E1876DB">
      <w:pPr>
        <w:rPr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左侧功能菜单中，“处置管理”模块下的“处置管理”处于选中状态（蓝色高亮），同模块还有“处置申请”“患者录入”“处置录入”等功能；同时可见“挂号收费”“门诊医生”“检查管理”“检验管理”“药房管理”等其他模块入口。 顶部为蓝色导航栏，左侧显示“东软云医院HIS系统”，右侧有“Neuedu”标识及当前用户“root”。 中间主界面为“处置项目查看”：上方设有“请输入患者病历号”“请输入患者姓名”输入框与“搜索”按钮；下方表格列有“编号”“患者姓名”“患者病历号”“患者年龄”“患者性别”，每条记录右侧配有蓝色“处置项目”按钮。表格共展示9条患者记录（如“梦琪，病历号1000013，23岁，女”“亿柳，病历号1000014，22岁，男”等）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66742"/>
    <w:rsid w:val="02A24E17"/>
    <w:rsid w:val="0728596A"/>
    <w:rsid w:val="1AB45877"/>
    <w:rsid w:val="29A21154"/>
    <w:rsid w:val="385775AE"/>
    <w:rsid w:val="393E345F"/>
    <w:rsid w:val="401517C3"/>
    <w:rsid w:val="453752CF"/>
    <w:rsid w:val="4BAA5635"/>
    <w:rsid w:val="4E3F065B"/>
    <w:rsid w:val="58FE5CA3"/>
    <w:rsid w:val="6005151A"/>
    <w:rsid w:val="617701F5"/>
    <w:rsid w:val="62E96ED1"/>
    <w:rsid w:val="6D7A3B1D"/>
    <w:rsid w:val="70E66742"/>
    <w:rsid w:val="77AD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jpeg"/><Relationship Id="rId37" Type="http://schemas.openxmlformats.org/officeDocument/2006/relationships/image" Target="media/image34.png"/><Relationship Id="rId36" Type="http://schemas.openxmlformats.org/officeDocument/2006/relationships/image" Target="media/image33.jpe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jpe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3268</Words>
  <Characters>3512</Characters>
  <Lines>0</Lines>
  <Paragraphs>0</Paragraphs>
  <TotalTime>87</TotalTime>
  <ScaleCrop>false</ScaleCrop>
  <LinksUpToDate>false</LinksUpToDate>
  <CharactersWithSpaces>3611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2025-09-01T22:41:00Z</dcterms:created>
  <dc:creator>pc</dc:creator>
  <cp:lastModifiedBy>杠杠</cp:lastModifiedBy>
  <dcterms:modified xsi:type="dcterms:W3CDTF">2025-09-02T10:30:23Z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79D3B157273C412F81BAD07A86F41FBD_13</vt:lpwstr>
  </property>
  <property fmtid="{D5CDD505-2E9C-101B-9397-08002B2CF9AE}" pid="4" name="KSOTemplateDocerSaveRecord">
    <vt:lpwstr>eyJoZGlkIjoiNTIzMDY2NDRhMmI5YjY1NjAxMzk5ZWNhYmNmZTM5NTUiLCJ1c2VySWQiOiI2MzI2MDgxNTcifQ==</vt:lpwstr>
  </property>
</Properties>
</file>