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HPC 08 – Agentic Porting</w:t>
      </w:r>
    </w:p>
    <w:p>
      <w:pPr>
        <w:spacing w:after="40"/>
      </w:pPr>
      <w:r>
        <w:rPr>
          <w:color w:val="595959"/>
          <w:sz w:val="24"/>
          <w:szCs w:val="24"/>
        </w:rPr>
        <w:t xml:space="preserve">Progress log: porting ICON's saturation-adjustment kernel to GT4Py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Status at end of Step 2 (Fortran read complete) – 18 July 2026</w:t>
      </w:r>
    </w:p>
    <w:p>
      <w:pPr>
        <w:pBdr>
          <w:bottom w:val="single" w:color="1F4E79" w:sz="6" w:space="1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1. Instructions I was given</w:t>
      </w:r>
    </w:p>
    <w:p>
      <w:pPr>
        <w:spacing w:after="120" w:line="276"/>
      </w:pPr>
      <w:r>
        <w:rPr>
          <w:sz w:val="21"/>
          <w:szCs w:val="21"/>
        </w:rPr>
        <w:t xml:space="preserve">The task is to independently port the standalone saturation-adjustment kernel from ICON's two-moment microphysics scheme (Fortran) to GT4Py, working in collaborator mode through a fixed, staged process with approval gates.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Sources I may 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Fortran source: </w:t>
      </w:r>
      <w:r>
        <w:rPr>
          <w:sz w:val="21"/>
          <w:szCs w:val="21"/>
        </w:rPr>
        <w:t xml:space="preserve">satad_only/fortran – the target kernel to 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GT4Py docs / quickstart: </w:t>
      </w:r>
      <w:r>
        <w:rPr>
          <w:sz w:val="21"/>
          <w:szCs w:val="21"/>
        </w:rPr>
        <w:t xml:space="preserve">for learning the DSL.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Full-scheme saturation-adjustment file (fortran/): </w:t>
      </w:r>
      <w:r>
        <w:rPr>
          <w:sz w:val="21"/>
          <w:szCs w:val="21"/>
        </w:rPr>
        <w:t xml:space="preserve">for style/conventions only – a different kernel, not the answer.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Hard constraint – held-out reference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 finished reference port already exists in the icon4py/ folder. It is held out for evaluation and must not be opened, read, or grepped at any point. </w:t>
      </w:r>
      <w:r>
        <w:rPr>
          <w:sz w:val="21"/>
          <w:szCs w:val="21"/>
        </w:rPr>
        <w:t xml:space="preserve">If I encounter it by accident I am to stop and report rather than read it. I have honoured this throughout: I have not accessed icon4py/.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The agreed process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Step 1: Skim GT4Py field_operator/program patterns until comfortable with the DSL. Stop for approval.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Step 2: Read the target Fortran subroutine(s) closely – inputs, outputs, physical meaning, iteration/convergence logic, edge cases, units. Stop for approval.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Step 3: Write a short design plan – file structure, function signatures (units + dtypes), handling of the tricky bits (iteration, thresholds, lookup tables). Flag genuine uncertainties.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Step 4: Stop and share the plan for review before writing any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Step 5: After approval, implement the port; document assumptions and interfaces so an independent evaluator can test it without further questions.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Output must be self-contained: </w:t>
      </w:r>
      <w:r>
        <w:rPr>
          <w:sz w:val="21"/>
          <w:szCs w:val="21"/>
        </w:rPr>
        <w:t xml:space="preserve">a separate process will independently test and evaluate the port afterward, with no access to this conversation.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2. What I did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Getting access to the code</w:t>
      </w:r>
    </w:p>
    <w:p>
      <w:pPr>
        <w:spacing w:after="120" w:line="276"/>
      </w:pPr>
      <w:r>
        <w:rPr>
          <w:sz w:val="21"/>
          <w:szCs w:val="21"/>
        </w:rPr>
        <w:t xml:space="preserve">The initial clone attempt failed – the repository was not reachable from my sandbox (it 404'd publicly, and the sandbox has no GitHub credentials). I could not use a personal access token, as handling credentials/tokens is outside what I am permitted to do. The working resolution was for you to clone the repo locally on the jana branch into the connected folder, which I then read directly.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Step 1 – GT4Py DSL familiarisation (completed)</w:t>
      </w:r>
    </w:p>
    <w:p>
      <w:pPr>
        <w:spacing w:after="120" w:line="276"/>
      </w:pPr>
      <w:r>
        <w:rPr>
          <w:sz w:val="21"/>
          <w:szCs w:val="21"/>
        </w:rPr>
        <w:t xml:space="preserve">Read the repository's own GT4Py material: docs/user/next/QuickstartGuide.md and the workshop scan-operator exercise. Confirmed the core building blocks needed for this port.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Step 2 – Reading the target Fortran (completed)</w:t>
      </w:r>
    </w:p>
    <w:p>
      <w:pPr>
        <w:spacing w:after="120" w:line="276"/>
      </w:pPr>
      <w:r>
        <w:rPr>
          <w:sz w:val="21"/>
          <w:szCs w:val="21"/>
        </w:rPr>
        <w:t xml:space="preserve">Read the kernel and its dependencies: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mo_satad.f90</w:t>
      </w:r>
      <w:r>
        <w:rPr>
          <w:sz w:val="21"/>
          <w:szCs w:val="21"/>
        </w:rPr>
        <w:t xml:space="preserve"> – the routines satad_v_3D (CPU) and satad_v_3D_gpu (GPU), plus the thermodynamic helper functions.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column_driver.f90</w:t>
      </w:r>
      <w:r>
        <w:rPr>
          <w:sz w:val="21"/>
          <w:szCs w:val="21"/>
        </w:rPr>
        <w:t xml:space="preserve"> – the single-column driver: CSV in → one satad call → CSV out; sets maxiter=10, tol=1e-3.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dependencies/*.f90</w:t>
      </w:r>
      <w:r>
        <w:rPr>
          <w:sz w:val="21"/>
          <w:szCs w:val="21"/>
        </w:rPr>
        <w:t xml:space="preserve"> – mo_kind (working precision), mo_physical_constants and mo_lookup_tables_constants (the exact numeric constants).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example/fields.csv</w:t>
      </w:r>
      <w:r>
        <w:rPr>
          <w:sz w:val="21"/>
          <w:szCs w:val="21"/>
        </w:rPr>
        <w:t xml:space="preserve"> – the 10-level sample column (rho, tk, qv, qc).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3. What I learned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GT4Py DSL (Step 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Fields </w:t>
      </w:r>
      <w:r>
        <w:rPr>
          <w:sz w:val="21"/>
          <w:szCs w:val="21"/>
        </w:rPr>
        <w:t xml:space="preserve">are defined over named Dimensions (e.g. Cell, K) and typed as gtx.Field[Dims[...], float64].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@field_operator </w:t>
      </w:r>
      <w:r>
        <w:rPr>
          <w:sz w:val="21"/>
          <w:szCs w:val="21"/>
        </w:rPr>
        <w:t xml:space="preserve">= pure, side-effect-free elementwise/reduction code (no in-place mutation of arguments).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@program </w:t>
      </w:r>
      <w:r>
        <w:rPr>
          <w:sz w:val="21"/>
          <w:szCs w:val="21"/>
        </w:rPr>
        <w:t xml:space="preserve">= sequences field-operator calls and writes results into out=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No if on fields – </w:t>
      </w:r>
      <w:r>
        <w:rPr>
          <w:sz w:val="21"/>
          <w:szCs w:val="21"/>
        </w:rPr>
        <w:t xml:space="preserve">branching is done with where(mask, true, false).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No while loops – </w:t>
      </w:r>
      <w:r>
        <w:rPr>
          <w:sz w:val="21"/>
          <w:szCs w:val="21"/>
        </w:rPr>
        <w:t xml:space="preserve">data-dependent iteration must be a fixed, unrolled count, or a scan_operator for genuine vertical dependencies.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5"/>
          <w:szCs w:val="25"/>
        </w:rPr>
        <w:t xml:space="preserve">The saturation-adjustment kernel (Step 2)</w:t>
      </w:r>
    </w:p>
    <w:p>
      <w:pPr>
        <w:spacing w:after="120" w:line="276"/>
      </w:pPr>
      <w:r>
        <w:rPr>
          <w:sz w:val="21"/>
          <w:szCs w:val="21"/>
        </w:rPr>
        <w:t xml:space="preserve">It relaxes each grid point to liquid/vapour equilibrium at constant total density, moving water between vapour (qv) and cloud (qc) and adjusting temperature (T) by the latent heat. Key facts: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Every level is independent – no vertical coupling. </w:t>
      </w:r>
      <w:r>
        <w:rPr>
          <w:sz w:val="21"/>
          <w:szCs w:val="21"/>
        </w:rPr>
        <w:t xml:space="preserve">So the port needs no scan_operator; it is pure pointwise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Two branches per point: </w:t>
      </w:r>
      <w:r>
        <w:rPr>
          <w:sz w:val="21"/>
          <w:szCs w:val="21"/>
        </w:rPr>
        <w:t xml:space="preserve">(A) if all cloud can evaporate and the air stays sub-saturated, set qv=qw, qc=0, T=Ttest directly – no iteration; (B) otherwise a Newton iteration on temperature.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Newton loop: </w:t>
      </w:r>
      <w:r>
        <w:rPr>
          <w:sz w:val="21"/>
          <w:szCs w:val="21"/>
        </w:rPr>
        <w:t xml:space="preserve">f = twork − T + (Lv/cvd)(qsat(twork) − qv); f' = 1 + (Lv/cvd)·dqsat/dT; stop when |Δtwork| ≤ tol or after maxiter=10.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Closure of branch B: </w:t>
      </w:r>
      <w:r>
        <w:rPr>
          <w:sz w:val="21"/>
          <w:szCs w:val="21"/>
        </w:rPr>
        <w:t xml:space="preserve">T=twork, qwa=qsat(T), qc=max(qc+qv−qwa, 1e-20), qv=qwa.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Only the Tetens saturation formula (ipsat=1) is active; </w:t>
      </w:r>
      <w:r>
        <w:rPr>
          <w:sz w:val="21"/>
          <w:szCs w:val="21"/>
        </w:rPr>
        <w:t xml:space="preserve">the Murphy-Koop branch (ipsat=2) is dead code needing tanh/log – not required.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Active-path helpers: </w:t>
      </w:r>
      <w:r>
        <w:rPr>
          <w:sz w:val="21"/>
          <w:szCs w:val="21"/>
        </w:rPr>
        <w:t xml:space="preserve">sat_pres_water (uses exp), qsat_rho, dqsatdT_rho, latent_heat_vaporization.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All arithmetic is real64 (float64).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Interface: </w:t>
      </w:r>
      <w:r>
        <w:rPr>
          <w:sz w:val="21"/>
          <w:szCs w:val="21"/>
        </w:rPr>
        <w:t xml:space="preserve">inputs rho[kg/m^3]; in-out te/tk[K], qve/qv[kg/kg], qce/qc[kg/kg]; controls maxiter, tol[K].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4. What I reported back to you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After Step 1: the GT4Py building blocks and the key implication that iteration/branching need where + fixed-count unrolling (or scan for vertical coupling), pending confirmation from the Fortran.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After Step 2: the full per-point algorithm with units, the two branches, the Newton details, and the constants – plus how each Fortran feature maps onto the GT4Py DSL. Confirmed no scan_operator is needed and that only the Tetens path must be ported.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5. Things to watch out for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Two different “cp_v” values. </w:t>
      </w:r>
      <w:r>
        <w:rPr>
          <w:sz w:val="21"/>
          <w:szCs w:val="21"/>
        </w:rPr>
        <w:t xml:space="preserve">latent_heat_vaporization uses a local PARAMETER cp_v = 1850.0, NOT the physical-constants cpv = 1869.46. Using the wrong one silently biases every temperature update.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Compute Lv/cvd (lwdocvd) once from the input T, </w:t>
      </w:r>
      <w:r>
        <w:rPr>
          <w:sz w:val="21"/>
          <w:szCs w:val="21"/>
        </w:rPr>
        <w:t xml:space="preserve">and keep the original T and qv fixed inside the Newton loop (twork is a separate working variable). Refreshing them mid-loop would change the fixed-point being solved.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Port the GPU variant's loop structure, not the CPU while-loop. </w:t>
      </w:r>
      <w:r>
        <w:rPr>
          <w:sz w:val="21"/>
          <w:szCs w:val="21"/>
        </w:rPr>
        <w:t xml:space="preserve">A fixed maxiter count with each step masked (converged/non-iterating points freeze) is numerically identical to the CPU version and is the only form GT4Py allows.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Exact constant transcription. </w:t>
      </w:r>
      <w:r>
        <w:rPr>
          <w:sz w:val="21"/>
          <w:szCs w:val="21"/>
        </w:rPr>
        <w:t xml:space="preserve">Several constants are derived (cvd = cpd−rd = 717.60; clw = (3.1733+1)·1004.64; c5les = 17.269·(273.15−35.86)). Small transcription errors will fail a bit-comparison against Fortran.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The 1e-20 floor (zqwmin) on qc </w:t>
      </w:r>
      <w:r>
        <w:rPr>
          <w:sz w:val="21"/>
          <w:szCs w:val="21"/>
        </w:rPr>
        <w:t xml:space="preserve">in branch B must be preserved via a maximum(...).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Do not touch icon4py/ </w:t>
      </w:r>
      <w:r>
        <w:rPr>
          <w:sz w:val="21"/>
          <w:szCs w:val="21"/>
        </w:rPr>
        <w:t xml:space="preserve">at any stage – it is the held-out evaluation reference.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6. Decisions still to make (for the Step 3 plan)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Field layout: </w:t>
      </w:r>
      <w:r>
        <w:rPr>
          <w:sz w:val="21"/>
          <w:szCs w:val="21"/>
        </w:rPr>
        <w:t xml:space="preserve">expose the kernel over (CellDim, KDim) for generality, or a single vertical KDim to mirror the single-column driver? Affects the public interface the evaluator will call.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Newton unrolling mechanism: </w:t>
      </w:r>
      <w:r>
        <w:rPr>
          <w:sz w:val="21"/>
          <w:szCs w:val="21"/>
        </w:rPr>
        <w:t xml:space="preserve">rely on GT4Py static for range() unrolling for the 10 steps, or manually unroll / factor a one-step helper field_operator? To be confirmed against the DSL during implementation.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embedded/roundtrip for a reference-correct, easily-tested port, versus gtfn_cpu for performance. Default is likely embedded for verifiability.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Convergence semantics to expose: </w:t>
      </w:r>
      <w:r>
        <w:rPr>
          <w:sz w:val="21"/>
          <w:szCs w:val="21"/>
        </w:rPr>
        <w:t xml:space="preserve">match the GPU variant exactly (fixed count, masked), which we take as the reference behaviour.</w:t>
      </w:r>
    </w:p>
    <w:p>
      <w:pPr>
        <w:pBdr>
          <w:bottom w:val="single" w:color="1F4E79" w:sz="6" w:space="1"/>
        </w:pBdr>
        <w:spacing w:after="120"/>
      </w:pPr>
    </w:p>
    <w:p>
      <w:pPr>
        <w:spacing w:before="120"/>
      </w:pPr>
      <w:r>
        <w:rPr>
          <w:i/>
          <w:iCs/>
          <w:color w:val="595959"/>
          <w:sz w:val="20"/>
          <w:szCs w:val="20"/>
        </w:rPr>
        <w:t xml:space="preserve">Next step: on your approval, proceed to Step 3 – the full design plan (file structure, signatures with units/dtypes, and resolution of the decisions above).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2026-07-18T16:07:20.288Z</dcterms:created>
  <dcterms:modified xsi:type="dcterms:W3CDTF">2026-07-18T16:07:20.288Z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