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1F4E5F"/>
          <w:sz w:val="32"/>
          <w:szCs w:val="32"/>
        </w:rPr>
        <w:t xml:space="preserve">TALEP KAPSAM FORMU</w:t>
      </w:r>
    </w:p>
    <w:p>
      <w:pPr>
        <w:spacing w:after="100" w:before="0"/>
      </w:pPr>
      <w:r>
        <w:t xml:space="preserve"/>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2600"/>
        <w:gridCol w:w="6400"/>
      </w:tblGrid>
      <w:tr>
        <w:tc>
          <w:tcPr>
            <w:tcW w:type="dxa" w:w="2600"/>
            <w:tcMar>
              <w:top w:type="dxa" w:w="60"/>
              <w:left w:type="dxa" w:w="100"/>
              <w:bottom w:type="dxa" w:w="60"/>
              <w:right w:type="dxa" w:w="100"/>
            </w:tcMar>
          </w:tcPr>
          <w:p>
            <w:pPr>
              <w:spacing w:after="0" w:before="0"/>
              <w:jc w:val="left"/>
            </w:pPr>
            <w:r>
              <w:rPr>
                <w:b/>
                <w:bCs/>
                <w:sz w:val="20"/>
                <w:szCs w:val="20"/>
              </w:rPr>
              <w:t xml:space="preserve">Talep No</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138380</w:t>
            </w:r>
          </w:p>
        </w:tc>
      </w:tr>
      <w:tr>
        <w:tc>
          <w:tcPr>
            <w:tcW w:type="dxa" w:w="2600"/>
            <w:tcMar>
              <w:top w:type="dxa" w:w="60"/>
              <w:left w:type="dxa" w:w="100"/>
              <w:bottom w:type="dxa" w:w="60"/>
              <w:right w:type="dxa" w:w="100"/>
            </w:tcMar>
          </w:tcPr>
          <w:p>
            <w:pPr>
              <w:spacing w:after="0" w:before="0"/>
              <w:jc w:val="left"/>
            </w:pPr>
            <w:r>
              <w:rPr>
                <w:b/>
                <w:bCs/>
                <w:sz w:val="20"/>
                <w:szCs w:val="20"/>
              </w:rPr>
              <w:t xml:space="preserve">Sorumlu BT Ekibi</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Yapay Zeka Çözümleri Ekibi — AlbarakaTech Global</w:t>
            </w:r>
          </w:p>
        </w:tc>
      </w:tr>
      <w:tr>
        <w:tc>
          <w:tcPr>
            <w:tcW w:type="dxa" w:w="2600"/>
            <w:tcMar>
              <w:top w:type="dxa" w:w="60"/>
              <w:left w:type="dxa" w:w="100"/>
              <w:bottom w:type="dxa" w:w="60"/>
              <w:right w:type="dxa" w:w="100"/>
            </w:tcMar>
          </w:tcPr>
          <w:p>
            <w:pPr>
              <w:spacing w:after="0" w:before="0"/>
              <w:jc w:val="left"/>
            </w:pPr>
            <w:r>
              <w:rPr>
                <w:b/>
                <w:bCs/>
                <w:sz w:val="20"/>
                <w:szCs w:val="20"/>
              </w:rPr>
              <w:t xml:space="preserve">Uygulamanın Sahibi</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Mevzuat ve Uyum Başkanlığı</w:t>
            </w:r>
          </w:p>
        </w:tc>
      </w:tr>
      <w:tr>
        <w:tc>
          <w:tcPr>
            <w:tcW w:type="dxa" w:w="2600"/>
            <w:tcMar>
              <w:top w:type="dxa" w:w="60"/>
              <w:left w:type="dxa" w:w="100"/>
              <w:bottom w:type="dxa" w:w="60"/>
              <w:right w:type="dxa" w:w="100"/>
            </w:tcMar>
          </w:tcPr>
          <w:p>
            <w:pPr>
              <w:spacing w:after="0" w:before="0"/>
              <w:jc w:val="left"/>
            </w:pPr>
            <w:r>
              <w:rPr>
                <w:b/>
                <w:bCs/>
                <w:sz w:val="20"/>
                <w:szCs w:val="20"/>
              </w:rPr>
              <w:t xml:space="preserve">Hazırlayan</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Ömer — Yapay Zeka Çözümleri Ekibi, AlbarakaTech Global</w:t>
            </w:r>
          </w:p>
        </w:tc>
      </w:tr>
      <w:tr>
        <w:tc>
          <w:tcPr>
            <w:tcW w:type="dxa" w:w="2600"/>
            <w:tcMar>
              <w:top w:type="dxa" w:w="60"/>
              <w:left w:type="dxa" w:w="100"/>
              <w:bottom w:type="dxa" w:w="60"/>
              <w:right w:type="dxa" w:w="100"/>
            </w:tcMar>
          </w:tcPr>
          <w:p>
            <w:pPr>
              <w:spacing w:after="0" w:before="0"/>
              <w:jc w:val="left"/>
            </w:pPr>
            <w:r>
              <w:rPr>
                <w:b/>
                <w:bCs/>
                <w:sz w:val="20"/>
                <w:szCs w:val="20"/>
              </w:rPr>
              <w:t xml:space="preserve">Talep Konusu</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Yapay Zeka Destekli Mevzuat Takip ve Yönlendirme Otomasyon Talebi</w:t>
            </w:r>
          </w:p>
        </w:tc>
      </w:tr>
      <w:tr>
        <w:tc>
          <w:tcPr>
            <w:tcW w:type="dxa" w:w="2600"/>
            <w:tcMar>
              <w:top w:type="dxa" w:w="60"/>
              <w:left w:type="dxa" w:w="100"/>
              <w:bottom w:type="dxa" w:w="60"/>
              <w:right w:type="dxa" w:w="100"/>
            </w:tcMar>
          </w:tcPr>
          <w:p>
            <w:pPr>
              <w:spacing w:after="0" w:before="0"/>
              <w:jc w:val="left"/>
            </w:pPr>
            <w:r>
              <w:rPr>
                <w:b/>
                <w:bCs/>
                <w:sz w:val="20"/>
                <w:szCs w:val="20"/>
              </w:rPr>
              <w:t xml:space="preserve">Tarih</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26.08.2026</w:t>
            </w:r>
          </w:p>
        </w:tc>
      </w:tr>
    </w:tbl>
    <w:p>
      <w:pPr>
        <w:pStyle w:val="Heading1"/>
        <w:pBdr>
          <w:bottom w:val="single" w:color="BBC9D0" w:sz="6" w:space="4"/>
        </w:pBdr>
        <w:spacing w:after="150" w:before="340"/>
      </w:pPr>
      <w:r>
        <w:rPr>
          <w:b/>
          <w:bCs/>
          <w:color w:val="1F4E5F"/>
          <w:sz w:val="26"/>
          <w:szCs w:val="26"/>
        </w:rPr>
        <w:t xml:space="preserve">AMAÇ ve AÇIKLAMA</w:t>
      </w:r>
    </w:p>
    <w:p>
      <w:pPr>
        <w:spacing w:after="140" w:before="80" w:line="276"/>
        <w:jc w:val="both"/>
      </w:pPr>
      <w:r>
        <w:rPr>
          <w:b w:val="false"/>
          <w:bCs w:val="false"/>
          <w:i w:val="false"/>
          <w:iCs w:val="false"/>
          <w:sz w:val="21"/>
          <w:szCs w:val="21"/>
        </w:rPr>
        <w:t xml:space="preserve">Mevzuat ve Uyum Başkanlığı; Resmî Gazete yayımlarını, kamu otoritelerinin (BDDK, KVKK vb.) internet sitelerinde yayımlanan düzenleyici içerikleri ve banka KEP adresine ulaşan mevzuat içerikli resmi yazıları manuel olarak takip etmektedir. Bu talebin amacı, söz konusu takip sürecinin yapay zeka destekli biçimde otomatikleştirilmesi; bankayı ilgilendirebilecek düzenlemelerin zamanında tespit edilerek Mevzuat Servisi'ne bildirilmesi ve ilgili birim ile eşleştirme önerisinin sunulmasıdır.</w:t>
      </w:r>
    </w:p>
    <w:p>
      <w:pPr>
        <w:spacing w:after="140" w:before="80" w:line="276"/>
        <w:jc w:val="both"/>
      </w:pPr>
      <w:r>
        <w:rPr>
          <w:b w:val="false"/>
          <w:bCs w:val="false"/>
          <w:i w:val="false"/>
          <w:iCs w:val="false"/>
          <w:sz w:val="21"/>
          <w:szCs w:val="21"/>
        </w:rPr>
        <w:t xml:space="preserve">Geliştirilecek uygulama aşağıdaki fonksiyonları kapsayacaktır:</w:t>
      </w:r>
    </w:p>
    <w:p>
      <w:pPr>
        <w:pStyle w:val="ListParagraph"/>
        <w:numPr>
          <w:ilvl w:val="0"/>
          <w:numId w:val="2"/>
        </w:numPr>
        <w:spacing w:after="100" w:before="100" w:line="276"/>
      </w:pPr>
      <w:r>
        <w:rPr>
          <w:b/>
          <w:bCs/>
          <w:sz w:val="21"/>
          <w:szCs w:val="21"/>
        </w:rPr>
        <w:t xml:space="preserve">Resmî kaynakların otomatik taranması: </w:t>
      </w:r>
      <w:r>
        <w:rPr>
          <w:sz w:val="21"/>
          <w:szCs w:val="21"/>
        </w:rPr>
        <w:t xml:space="preserve">Belirlenen kaynakların düzenli aralıklarla otomatik olarak izlenmesi.</w:t>
      </w:r>
    </w:p>
    <w:p>
      <w:pPr>
        <w:pStyle w:val="ListParagraph"/>
        <w:numPr>
          <w:ilvl w:val="0"/>
          <w:numId w:val="2"/>
        </w:numPr>
        <w:spacing w:after="100" w:before="100" w:line="276"/>
      </w:pPr>
      <w:r>
        <w:rPr>
          <w:b/>
          <w:bCs/>
          <w:sz w:val="21"/>
          <w:szCs w:val="21"/>
        </w:rPr>
        <w:t xml:space="preserve">Yapay zeka ile mevzuatın tespiti ve önceliklendirilmesi: </w:t>
      </w:r>
      <w:r>
        <w:rPr>
          <w:sz w:val="21"/>
          <w:szCs w:val="21"/>
        </w:rPr>
        <w:t xml:space="preserve">Bankayı ilgilendirebilecek düzenlemelerin ayrıştırılması ve önem derecesinin belirlenmesi.</w:t>
      </w:r>
    </w:p>
    <w:p>
      <w:pPr>
        <w:pStyle w:val="ListParagraph"/>
        <w:numPr>
          <w:ilvl w:val="0"/>
          <w:numId w:val="2"/>
        </w:numPr>
        <w:spacing w:after="100" w:before="100" w:line="276"/>
      </w:pPr>
      <w:r>
        <w:rPr>
          <w:b/>
          <w:bCs/>
          <w:sz w:val="21"/>
          <w:szCs w:val="21"/>
        </w:rPr>
        <w:t xml:space="preserve">Mevzuatın konusu ve içeriğinin analiz edilmesi: </w:t>
      </w:r>
      <w:r>
        <w:rPr>
          <w:sz w:val="21"/>
          <w:szCs w:val="21"/>
        </w:rPr>
        <w:t xml:space="preserve">Düzenlemenin konusunun sınıflandırılması ve yapılandırılmış özetinin üretilmesi.</w:t>
      </w:r>
    </w:p>
    <w:p>
      <w:pPr>
        <w:pStyle w:val="ListParagraph"/>
        <w:numPr>
          <w:ilvl w:val="0"/>
          <w:numId w:val="2"/>
        </w:numPr>
        <w:spacing w:after="100" w:before="100" w:line="276"/>
      </w:pPr>
      <w:r>
        <w:rPr>
          <w:b/>
          <w:bCs/>
          <w:sz w:val="21"/>
          <w:szCs w:val="21"/>
        </w:rPr>
        <w:t xml:space="preserve">Birim eşleştirme önerisinin sunulması: </w:t>
      </w:r>
      <w:r>
        <w:rPr>
          <w:sz w:val="21"/>
          <w:szCs w:val="21"/>
        </w:rPr>
        <w:t xml:space="preserve">Banka organizasyonunda yer alan birimlerin görev alanlarıyla eşleştirme önerisinin oluşturulması.</w:t>
      </w:r>
    </w:p>
    <w:p>
      <w:pPr>
        <w:pStyle w:val="ListParagraph"/>
        <w:numPr>
          <w:ilvl w:val="0"/>
          <w:numId w:val="2"/>
        </w:numPr>
        <w:spacing w:after="100" w:before="100" w:line="276"/>
      </w:pPr>
      <w:r>
        <w:rPr>
          <w:b/>
          <w:bCs/>
          <w:sz w:val="21"/>
          <w:szCs w:val="21"/>
        </w:rPr>
        <w:t xml:space="preserve">Portal geliştirilmesi: </w:t>
      </w:r>
      <w:r>
        <w:rPr>
          <w:sz w:val="21"/>
          <w:szCs w:val="21"/>
        </w:rPr>
        <w:t xml:space="preserve">Başkanlığın tespit edilen düzenlemeleri görüntüleyip onay/red verebileceği bir arayüzün sağlanması.</w:t>
      </w:r>
    </w:p>
    <w:p>
      <w:pPr>
        <w:spacing w:after="140" w:before="160" w:line="276"/>
        <w:jc w:val="both"/>
      </w:pPr>
      <w:r>
        <w:rPr>
          <w:b w:val="false"/>
          <w:bCs w:val="false"/>
          <w:i w:val="false"/>
          <w:iCs w:val="false"/>
          <w:sz w:val="21"/>
          <w:szCs w:val="21"/>
        </w:rPr>
        <w:t xml:space="preserve">Bildirimlerin Outlook üzerinden Mevzuat ve Uyum Başkanlığına iletilmesi ve Başkanlığın onayı sonrasında ilgili birimlere otomatik yönlendirme/bildirim yapılması ayrı bir faz (Faz 2) olarak tanımlanmış olup bu formun kapsamı dışındadır. Faz 1 kapsamında tespit edilen düzenlemeler, Başkanlığın kullanımına açılacak Portal üzerinden görüntülenir.</w:t>
      </w:r>
    </w:p>
    <w:p>
      <w:pPr>
        <w:pStyle w:val="Heading1"/>
        <w:pBdr>
          <w:bottom w:val="single" w:color="BBC9D0" w:sz="6" w:space="4"/>
        </w:pBdr>
        <w:spacing w:after="150" w:before="340"/>
      </w:pPr>
      <w:r>
        <w:rPr>
          <w:b/>
          <w:bCs/>
          <w:color w:val="1F4E5F"/>
          <w:sz w:val="26"/>
          <w:szCs w:val="26"/>
        </w:rPr>
        <w:t xml:space="preserve">TALEBİN VARSAYIMLARI ve KISITLARI</w:t>
      </w:r>
    </w:p>
    <w:p>
      <w:pPr>
        <w:spacing w:after="60" w:before="80" w:line="276"/>
        <w:jc w:val="both"/>
      </w:pPr>
      <w:r>
        <w:rPr>
          <w:b/>
          <w:bCs/>
          <w:i w:val="false"/>
          <w:iCs w:val="false"/>
          <w:sz w:val="21"/>
          <w:szCs w:val="21"/>
        </w:rPr>
        <w:t xml:space="preserve">Varsayımlar:</w:t>
      </w:r>
    </w:p>
    <w:p>
      <w:pPr>
        <w:pStyle w:val="ListParagraph"/>
        <w:numPr>
          <w:ilvl w:val="0"/>
          <w:numId w:val="2"/>
        </w:numPr>
        <w:spacing w:after="100" w:before="100" w:line="276"/>
      </w:pPr>
      <w:r>
        <w:rPr>
          <w:b/>
          <w:bCs/>
          <w:sz w:val="21"/>
          <w:szCs w:val="21"/>
        </w:rPr>
        <w:t xml:space="preserve">Ağ erişimi: </w:t>
      </w:r>
      <w:r>
        <w:rPr>
          <w:sz w:val="21"/>
          <w:szCs w:val="21"/>
        </w:rPr>
        <w:t xml:space="preserve">Kaynak internet sitelerine erişim için gerekli ağ/proxy istisnasının proje başlangıcında sağlanacağı varsayılmaktadır.</w:t>
      </w:r>
    </w:p>
    <w:p>
      <w:pPr>
        <w:pStyle w:val="ListParagraph"/>
        <w:numPr>
          <w:ilvl w:val="0"/>
          <w:numId w:val="2"/>
        </w:numPr>
        <w:spacing w:after="100" w:before="100" w:line="276"/>
      </w:pPr>
      <w:r>
        <w:rPr>
          <w:b/>
          <w:bCs/>
          <w:sz w:val="21"/>
          <w:szCs w:val="21"/>
        </w:rPr>
        <w:t xml:space="preserve">Kaynak listesi: </w:t>
      </w:r>
      <w:r>
        <w:rPr>
          <w:sz w:val="21"/>
          <w:szCs w:val="21"/>
        </w:rPr>
        <w:t xml:space="preserve">Talepte belirtilen resmî kaynakların (Resmî Gazete, BDDK, SPK, TCMB, KVKK, MASAK, Ticaret Bakanlığı, Rekabet Kurumu, TKBB) nihai ve sabit olduğu varsayılmaktadır; ek kaynak talebi kapsam değişikliği olarak değerlendirilecektir.</w:t>
      </w:r>
    </w:p>
    <w:p>
      <w:pPr>
        <w:pStyle w:val="ListParagraph"/>
        <w:numPr>
          <w:ilvl w:val="0"/>
          <w:numId w:val="2"/>
        </w:numPr>
        <w:spacing w:after="100" w:before="100" w:line="276"/>
      </w:pPr>
      <w:r>
        <w:rPr>
          <w:b/>
          <w:bCs/>
          <w:sz w:val="21"/>
          <w:szCs w:val="21"/>
        </w:rPr>
        <w:t xml:space="preserve">Alan uzmanlığı desteği: </w:t>
      </w:r>
      <w:r>
        <w:rPr>
          <w:sz w:val="21"/>
          <w:szCs w:val="21"/>
        </w:rPr>
        <w:t xml:space="preserve">Taksonomi ve etiketleme kılavuzu çalıştayına ve paralel çalışma dönemine Mevzuat ve Uyum Başkanlığı'ndan uzman katılımının sağlanacağı varsayılmaktadır.</w:t>
      </w:r>
    </w:p>
    <w:p>
      <w:pPr>
        <w:pStyle w:val="ListParagraph"/>
        <w:numPr>
          <w:ilvl w:val="0"/>
          <w:numId w:val="2"/>
        </w:numPr>
        <w:spacing w:after="100" w:before="100" w:line="276"/>
      </w:pPr>
      <w:r>
        <w:rPr>
          <w:b/>
          <w:bCs/>
          <w:sz w:val="21"/>
          <w:szCs w:val="21"/>
        </w:rPr>
        <w:t xml:space="preserve">Birim görev tanımları: </w:t>
      </w:r>
      <w:r>
        <w:rPr>
          <w:sz w:val="21"/>
          <w:szCs w:val="21"/>
        </w:rPr>
        <w:t xml:space="preserve">Birim eşleştirme önerisi için kullanılacak güncel görev tanımlarının / organizasyon yönetmeliğinin Başkanlık veya İnsan Kaynakları tarafından temin edileceği varsayılmaktadır.</w:t>
      </w:r>
    </w:p>
    <w:p>
      <w:pPr>
        <w:pStyle w:val="ListParagraph"/>
        <w:numPr>
          <w:ilvl w:val="0"/>
          <w:numId w:val="2"/>
        </w:numPr>
        <w:spacing w:after="100" w:before="100" w:line="276"/>
      </w:pPr>
      <w:r>
        <w:rPr>
          <w:b/>
          <w:bCs/>
          <w:sz w:val="21"/>
          <w:szCs w:val="21"/>
        </w:rPr>
        <w:t xml:space="preserve">Model yaklaşımı: </w:t>
      </w:r>
      <w:r>
        <w:rPr>
          <w:sz w:val="21"/>
          <w:szCs w:val="21"/>
        </w:rPr>
        <w:t xml:space="preserve">İlgililik tespiti, özetleme ve birim eşleştirme için ayrı bir model eğitimi yapılmayacak; mevcut kurum içi büyük dil modeli az örnekli (few-shot) yaklaşımla kullanılacaktır.</w:t>
      </w:r>
    </w:p>
    <w:p>
      <w:pPr>
        <w:spacing w:after="60" w:before="180" w:line="276"/>
        <w:jc w:val="both"/>
      </w:pPr>
      <w:r>
        <w:rPr>
          <w:b/>
          <w:bCs/>
          <w:i w:val="false"/>
          <w:iCs w:val="false"/>
          <w:sz w:val="21"/>
          <w:szCs w:val="21"/>
        </w:rPr>
        <w:t xml:space="preserve">Kısıtlar ve Riskler:</w:t>
      </w:r>
    </w:p>
    <w:p>
      <w:pPr>
        <w:pStyle w:val="ListParagraph"/>
        <w:numPr>
          <w:ilvl w:val="0"/>
          <w:numId w:val="2"/>
        </w:numPr>
        <w:spacing w:after="100" w:before="100" w:line="276"/>
      </w:pPr>
      <w:r>
        <w:rPr>
          <w:b/>
          <w:bCs/>
          <w:sz w:val="21"/>
          <w:szCs w:val="21"/>
        </w:rPr>
        <w:t xml:space="preserve">Kapalı ağ ortamı: </w:t>
      </w:r>
      <w:r>
        <w:rPr>
          <w:sz w:val="21"/>
          <w:szCs w:val="21"/>
        </w:rPr>
        <w:t xml:space="preserve">Üretim ortamının hava boşluklu (air-gapped) olması nedeniyle dış kaynaklara erişim ancak DMZ üzerinden kontrollü biçimde sağlanabilir; bu sürecin onay süresi proje takvimini etkileyebilir.</w:t>
      </w:r>
    </w:p>
    <w:p>
      <w:pPr>
        <w:pStyle w:val="ListParagraph"/>
        <w:numPr>
          <w:ilvl w:val="0"/>
          <w:numId w:val="2"/>
        </w:numPr>
        <w:spacing w:after="100" w:before="100" w:line="276"/>
      </w:pPr>
      <w:r>
        <w:rPr>
          <w:b/>
          <w:bCs/>
          <w:sz w:val="21"/>
          <w:szCs w:val="21"/>
        </w:rPr>
        <w:t xml:space="preserve">Kaynak site değişkenliği: </w:t>
      </w:r>
      <w:r>
        <w:rPr>
          <w:sz w:val="21"/>
          <w:szCs w:val="21"/>
        </w:rPr>
        <w:t xml:space="preserve">Taranan kurum sitelerinin yapısında zaman içinde yaşanabilecek değişiklikler veri toplamayı durdurabilir. Uygulama bu duruma karşı izleme ve alarm mekanizmalarıyla tasarlanacak olmakla birlikte, devreye alma sonrasında süreklilik için ayrı bir bakım kapsamı gerekmektedir.</w:t>
      </w:r>
    </w:p>
    <w:p>
      <w:pPr>
        <w:pStyle w:val="ListParagraph"/>
        <w:numPr>
          <w:ilvl w:val="0"/>
          <w:numId w:val="2"/>
        </w:numPr>
        <w:spacing w:after="100" w:before="100" w:line="276"/>
      </w:pPr>
      <w:r>
        <w:rPr>
          <w:b/>
          <w:bCs/>
          <w:sz w:val="21"/>
          <w:szCs w:val="21"/>
        </w:rPr>
        <w:t xml:space="preserve">Yapay zeka çıktılarının niteliği: </w:t>
      </w:r>
      <w:r>
        <w:rPr>
          <w:sz w:val="21"/>
          <w:szCs w:val="21"/>
        </w:rPr>
        <w:t xml:space="preserve">Sistem karar destek niteliğindedir. Üretilen özet, önceliklendirme ve birim önerileri nihai karar değil öneridir; Mevzuat ve Uyum Başkanlığı'nın kontrolü ve onayı süreçte zorunlu adım olarak korunacaktır.</w:t>
      </w:r>
    </w:p>
    <w:p>
      <w:pPr>
        <w:pStyle w:val="ListParagraph"/>
        <w:numPr>
          <w:ilvl w:val="0"/>
          <w:numId w:val="2"/>
        </w:numPr>
        <w:spacing w:after="100" w:before="100" w:line="276"/>
      </w:pPr>
      <w:r>
        <w:rPr>
          <w:b/>
          <w:bCs/>
          <w:sz w:val="21"/>
          <w:szCs w:val="21"/>
        </w:rPr>
        <w:t xml:space="preserve">Az örnekli yaklaşımın sınırı: </w:t>
      </w:r>
      <w:r>
        <w:rPr>
          <w:sz w:val="21"/>
          <w:szCs w:val="21"/>
        </w:rPr>
        <w:t xml:space="preserve">Model eğitimi yapılmadığından ilgililik tespitinde kalibre edilmiş bir eşik değeri yerine göreli bir güven skoru kullanılacaktır; eşik değeri paralel çalışma döneminde Başkanlıkla birlikte belirlenecektir. Birim eşleştirme önerisinin isabet oranı, kullanım süresince biriken onay ve düzeltme kayıtlarıyla kademeli olarak artacaktır.</w:t>
      </w:r>
    </w:p>
    <w:p>
      <w:pPr>
        <w:pStyle w:val="ListParagraph"/>
        <w:numPr>
          <w:ilvl w:val="0"/>
          <w:numId w:val="2"/>
        </w:numPr>
        <w:spacing w:after="100" w:before="100" w:line="276"/>
      </w:pPr>
      <w:r>
        <w:rPr>
          <w:b/>
          <w:bCs/>
          <w:sz w:val="21"/>
          <w:szCs w:val="21"/>
        </w:rPr>
        <w:t xml:space="preserve">Tahmin niteliği: </w:t>
      </w:r>
      <w:r>
        <w:rPr>
          <w:sz w:val="21"/>
          <w:szCs w:val="21"/>
        </w:rPr>
        <w:t xml:space="preserve">Aşağıdaki iş kırılımı ve adam/gün tahminleri, ekibin benzer sınıflandırma ve doğal dil işleme çalışmalarındaki deneyimine dayanılarak yapılmış iyimser bir tahmindir; ağ onayının gecikmesi veya kaynak/veri kalitesinde beklenmeyen sorunlar süreyi etkileyebilir.</w:t>
      </w:r>
    </w:p>
    <w:p>
      <w:pPr>
        <w:pStyle w:val="Heading1"/>
        <w:pBdr>
          <w:bottom w:val="single" w:color="BBC9D0" w:sz="6" w:space="4"/>
        </w:pBdr>
        <w:spacing w:after="150" w:before="340"/>
      </w:pPr>
      <w:r>
        <w:rPr>
          <w:b/>
          <w:bCs/>
          <w:color w:val="1F4E5F"/>
          <w:sz w:val="26"/>
          <w:szCs w:val="26"/>
        </w:rPr>
        <w:t xml:space="preserve">TALEBİN KAPSAMINDAKİ HUSUSLAR ve İŞ KIRILIMI</w:t>
      </w:r>
    </w:p>
    <w:p>
      <w:pPr>
        <w:spacing w:after="140" w:before="80" w:line="276"/>
        <w:jc w:val="both"/>
      </w:pPr>
      <w:r>
        <w:rPr>
          <w:b w:val="false"/>
          <w:bCs w:val="false"/>
          <w:i w:val="false"/>
          <w:iCs w:val="false"/>
          <w:sz w:val="21"/>
          <w:szCs w:val="21"/>
        </w:rPr>
        <w:t xml:space="preserve">Talep kapsamındaki çalışma, aşağıda sekiz iş kırılımı altında tanımlanmıştır. Her kırılım için yapılacak iş, kullanılacak girdiler, uygulanacak işlem adımları ve üretilecek çıktılar ayrı ayrı belirtilmiştir. Kırılımların uçtan uca akış içindeki sırası, birbirinin çıktısını girdi olarak kullanacak şekilde kurgulanmıştır.</w:t>
      </w:r>
    </w:p>
    <w:p>
      <w:pPr>
        <w:pStyle w:val="Heading2"/>
        <w:spacing w:after="100" w:before="280"/>
      </w:pPr>
      <w:r>
        <w:rPr>
          <w:b/>
          <w:bCs/>
          <w:color w:val="8A9BA3"/>
          <w:sz w:val="22"/>
          <w:szCs w:val="22"/>
        </w:rPr>
        <w:t xml:space="preserve">İK-1  </w:t>
      </w:r>
      <w:r>
        <w:rPr>
          <w:b/>
          <w:bCs/>
          <w:color w:val="1F4E5F"/>
          <w:sz w:val="23"/>
          <w:szCs w:val="23"/>
        </w:rPr>
        <w:t xml:space="preserve">Kaynak Toplama Altyapısı</w:t>
      </w:r>
    </w:p>
    <w:p>
      <w:pPr>
        <w:spacing w:after="140" w:before="80" w:line="276"/>
        <w:jc w:val="both"/>
      </w:pPr>
      <w:r>
        <w:rPr>
          <w:b w:val="false"/>
          <w:bCs w:val="false"/>
          <w:i w:val="false"/>
          <w:iCs w:val="false"/>
          <w:sz w:val="21"/>
          <w:szCs w:val="21"/>
        </w:rPr>
        <w:t xml:space="preserve">Talepte belirtilen resmî kaynaklar günde birden fazla kez otomatik olarak taranır ve yeni yayımlanan içerikler sisteme alınır. Resmî Gazete için mükerrer sayılar da izlenir; mükerrer sayılar gün içinde geç saatlerde yayımlanabildiğinden tarama günde birkaç pencerede tekrarlanır. Her kaynak için ayrı bir toplayıcı geliştirilir, böylece bir kaynaktaki sorun diğerlerini etkilemez.</w:t>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500"/>
        <w:gridCol w:w="7500"/>
      </w:tblGrid>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Girdi</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Resmî Gazete, kamu otoritelerinin internet siteleri ve banka KEP posta kutusu.</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İşlem</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Belirlenen periyotlarda kaynakların taranması, önceki taramaya göre yeni/değişen içeriğin tespiti, ham içeriğin (sayfa, PDF, e-posta eki) sisteme kaydedilmesi.</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Çıktı</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Tarih, kaynak ve erişim adresi bilgisiyle birlikte arşivlenmiş ham içerik kayıtları.</w:t>
            </w:r>
          </w:p>
        </w:tc>
      </w:tr>
    </w:tbl>
    <w:p>
      <w:pPr>
        <w:pStyle w:val="Heading2"/>
        <w:spacing w:after="100" w:before="280"/>
      </w:pPr>
      <w:r>
        <w:rPr>
          <w:b/>
          <w:bCs/>
          <w:color w:val="8A9BA3"/>
          <w:sz w:val="22"/>
          <w:szCs w:val="22"/>
        </w:rPr>
        <w:t xml:space="preserve">İK-2  </w:t>
      </w:r>
      <w:r>
        <w:rPr>
          <w:b/>
          <w:bCs/>
          <w:color w:val="1F4E5F"/>
          <w:sz w:val="23"/>
          <w:szCs w:val="23"/>
        </w:rPr>
        <w:t xml:space="preserve">Belge İşleme ve Tekilleştirme</w:t>
      </w:r>
    </w:p>
    <w:p>
      <w:pPr>
        <w:spacing w:after="140" w:before="80" w:line="276"/>
        <w:jc w:val="both"/>
      </w:pPr>
      <w:r>
        <w:rPr>
          <w:b w:val="false"/>
          <w:bCs w:val="false"/>
          <w:i w:val="false"/>
          <w:iCs w:val="false"/>
          <w:sz w:val="21"/>
          <w:szCs w:val="21"/>
        </w:rPr>
        <w:t xml:space="preserve">Toplanan içerikler farklı biçimlerde (web sayfası, PDF, taranmış görüntü) gelir. Bu adımda tümü okunabilir metne dönüştürülür. Ayrıca aynı düzenleme birden fazla kaynakta yer alabilir; örneğin bir yönetmelik hem Resmî Gazete'de hem de ilgili kurumun sitesinde yayımlanır. Bu kayıtlar tek bir düzenleme kaydında birleştirilir, böylece Başkanlığa aynı konu için mükerrer bildirim gitmesi önlenir.</w:t>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500"/>
        <w:gridCol w:w="7500"/>
      </w:tblGrid>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Girdi</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İK-1 çıktısı: arşivlenmiş ham içerik kayıtları.</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İşlem</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Web sayfası ve PDF içeriklerinin metne dönüştürülmesi; taranmış görüntü içeren belgelerin OCR ile okunması; aynı düzenlemeye ait farklı kaynaklı kayıtların tespiti ve tek kayıtta birleştirilmesi.</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Çıktı</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Metin içeriği çıkarılmış, mükerrerliği giderilmiş tekil düzenleme kayıtları.</w:t>
            </w:r>
          </w:p>
        </w:tc>
      </w:tr>
    </w:tbl>
    <w:p>
      <w:pPr>
        <w:pStyle w:val="Heading2"/>
        <w:spacing w:after="100" w:before="280"/>
      </w:pPr>
      <w:r>
        <w:rPr>
          <w:b/>
          <w:bCs/>
          <w:color w:val="8A9BA3"/>
          <w:sz w:val="22"/>
          <w:szCs w:val="22"/>
        </w:rPr>
        <w:t xml:space="preserve">İK-3  </w:t>
      </w:r>
      <w:r>
        <w:rPr>
          <w:b/>
          <w:bCs/>
          <w:color w:val="1F4E5F"/>
          <w:sz w:val="23"/>
          <w:szCs w:val="23"/>
        </w:rPr>
        <w:t xml:space="preserve">Mevzuat Tespiti ve Önceliklendirme</w:t>
      </w:r>
    </w:p>
    <w:p>
      <w:pPr>
        <w:spacing w:after="140" w:before="80" w:line="276"/>
        <w:jc w:val="both"/>
      </w:pPr>
      <w:r>
        <w:rPr>
          <w:b w:val="false"/>
          <w:bCs w:val="false"/>
          <w:i w:val="false"/>
          <w:iCs w:val="false"/>
          <w:sz w:val="21"/>
          <w:szCs w:val="21"/>
        </w:rPr>
        <w:t xml:space="preserve">Toplanan içeriklerin büyük bölümü bankayı ilgilendirmez. Bu adımda her kayıt yapay zeka ile değerlendirilerek bankanın faaliyetleri açısından ilgili olup olmadığı belirlenir ve bir güven skoru üretilir. İlgili bulunan kayıtlara ayrıca önem derecesi atanır. Değerlendirme kriterleri, proje başında Başkanlık uzmanlarıyla yapılacak çalıştayda yazılı hale getirilecek olan etiketleme kılavuzuna dayanır.</w:t>
      </w:r>
    </w:p>
    <w:p>
      <w:pPr>
        <w:spacing w:after="140" w:before="80" w:line="276"/>
        <w:jc w:val="both"/>
      </w:pPr>
      <w:r>
        <w:rPr>
          <w:b w:val="false"/>
          <w:bCs w:val="false"/>
          <w:i w:val="false"/>
          <w:iCs w:val="false"/>
          <w:sz w:val="21"/>
          <w:szCs w:val="21"/>
        </w:rPr>
        <w:t xml:space="preserve">Bu adım yüksek duyarlılıkla çalışacak şekilde ayarlanır: tereddütlü durumlarda kayıt elenmez, Başkanlığın değerlendirmesine sunulur. Amaç, ilgili bir düzenlemenin gözden kaçmasını önlemektir.</w:t>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500"/>
        <w:gridCol w:w="7500"/>
      </w:tblGrid>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Girdi</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İK-2 çıktısı: tekil düzenleme kayıtları. Ayrıca Başkanlıkla birlikte hazırlanan ilgililik kriterleri ve konu taksonomisi.</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İşlem</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Her kaydın bankayı ilgilendirip ilgilendirmediğinin yapay zeka ile değerlendirilmesi ve güven skoru üretilmesi; ilgili kayıtlara Kritik / Yüksek / Orta / Düşük önem derecesi atanması.</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Çıktı</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İlgililik kararı, güven skoru ve önem derecesi ile işaretlenmiş düzenleme kayıtları.</w:t>
            </w:r>
          </w:p>
        </w:tc>
      </w:tr>
    </w:tbl>
    <w:p>
      <w:pPr>
        <w:pStyle w:val="Heading2"/>
        <w:spacing w:after="100" w:before="280"/>
      </w:pPr>
      <w:r>
        <w:rPr>
          <w:b/>
          <w:bCs/>
          <w:color w:val="8A9BA3"/>
          <w:sz w:val="22"/>
          <w:szCs w:val="22"/>
        </w:rPr>
        <w:t xml:space="preserve">İK-4  </w:t>
      </w:r>
      <w:r>
        <w:rPr>
          <w:b/>
          <w:bCs/>
          <w:color w:val="1F4E5F"/>
          <w:sz w:val="23"/>
          <w:szCs w:val="23"/>
        </w:rPr>
        <w:t xml:space="preserve">İçerik Analizi ve Özet Üretimi</w:t>
      </w:r>
    </w:p>
    <w:p>
      <w:pPr>
        <w:spacing w:after="140" w:before="80" w:line="276"/>
        <w:jc w:val="both"/>
      </w:pPr>
      <w:r>
        <w:rPr>
          <w:b w:val="false"/>
          <w:bCs w:val="false"/>
          <w:i w:val="false"/>
          <w:iCs w:val="false"/>
          <w:sz w:val="21"/>
          <w:szCs w:val="21"/>
        </w:rPr>
        <w:t xml:space="preserve">İlgili bulunan her düzenleme için, Başkanlığın belirlediği başlıkları içeren yapılandırılmış bir özet üretilir. Özetteki her ifade kaynak metne dayandırılır; sistem kaynak metinde bulunmayan bir bilgi üretmeyecek şekilde kurgulanır ve her özet, doğrulama amacıyla kaynağına erişim sağlayan bağlantıyla birlikte sunulur.</w:t>
      </w:r>
    </w:p>
    <w:p>
      <w:pPr>
        <w:spacing w:after="60" w:before="0"/>
      </w:pPr>
      <w:r>
        <w:t xml:space="preserve"/>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2400"/>
        <w:gridCol w:w="4100"/>
        <w:gridCol w:w="2500"/>
      </w:tblGrid>
      <w:tr>
        <w:trPr>
          <w:tblHeader/>
        </w:trPr>
        <w:tc>
          <w:tcPr>
            <w:tcW w:type="dxa" w:w="2400"/>
            <w:shd w:fill="E8EEF1" w:color="auto" w:val="clear"/>
            <w:tcMar>
              <w:top w:type="dxa" w:w="60"/>
              <w:left w:type="dxa" w:w="100"/>
              <w:bottom w:type="dxa" w:w="60"/>
              <w:right w:type="dxa" w:w="100"/>
            </w:tcMar>
          </w:tcPr>
          <w:p>
            <w:pPr>
              <w:spacing w:after="0" w:before="0"/>
              <w:jc w:val="left"/>
            </w:pPr>
            <w:r>
              <w:rPr>
                <w:b/>
                <w:bCs/>
                <w:color w:val="1F4E5F"/>
                <w:sz w:val="20"/>
                <w:szCs w:val="20"/>
              </w:rPr>
              <w:t xml:space="preserve">Özet Alanı</w:t>
            </w:r>
          </w:p>
        </w:tc>
        <w:tc>
          <w:tcPr>
            <w:tcW w:type="dxa" w:w="4100"/>
            <w:shd w:fill="E8EEF1" w:color="auto" w:val="clear"/>
            <w:tcMar>
              <w:top w:type="dxa" w:w="60"/>
              <w:left w:type="dxa" w:w="100"/>
              <w:bottom w:type="dxa" w:w="60"/>
              <w:right w:type="dxa" w:w="100"/>
            </w:tcMar>
          </w:tcPr>
          <w:p>
            <w:pPr>
              <w:spacing w:after="0" w:before="0"/>
              <w:jc w:val="left"/>
            </w:pPr>
            <w:r>
              <w:rPr>
                <w:b/>
                <w:bCs/>
                <w:color w:val="1F4E5F"/>
                <w:sz w:val="20"/>
                <w:szCs w:val="20"/>
              </w:rPr>
              <w:t xml:space="preserve">Açıklama</w:t>
            </w:r>
          </w:p>
        </w:tc>
        <w:tc>
          <w:tcPr>
            <w:tcW w:type="dxa" w:w="2500"/>
            <w:shd w:fill="E8EEF1" w:color="auto" w:val="clear"/>
            <w:tcMar>
              <w:top w:type="dxa" w:w="60"/>
              <w:left w:type="dxa" w:w="100"/>
              <w:bottom w:type="dxa" w:w="60"/>
              <w:right w:type="dxa" w:w="100"/>
            </w:tcMar>
          </w:tcPr>
          <w:p>
            <w:pPr>
              <w:spacing w:after="0" w:before="0"/>
              <w:jc w:val="left"/>
            </w:pPr>
            <w:r>
              <w:rPr>
                <w:b/>
                <w:bCs/>
                <w:color w:val="1F4E5F"/>
                <w:sz w:val="20"/>
                <w:szCs w:val="20"/>
              </w:rPr>
              <w:t xml:space="preserve">Üretim Kaynağı</w:t>
            </w:r>
          </w:p>
        </w:tc>
      </w:tr>
      <w:tr>
        <w:tc>
          <w:tcPr>
            <w:tcW w:type="dxa" w:w="24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Düzenlemenin adı</w:t>
            </w:r>
          </w:p>
        </w:tc>
        <w:tc>
          <w:tcPr>
            <w:tcW w:type="dxa" w:w="41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Düzenlemenin resmî başlığı</w:t>
            </w:r>
          </w:p>
        </w:tc>
        <w:tc>
          <w:tcPr>
            <w:tcW w:type="dxa" w:w="25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Kaynak belgeden doğrudan</w:t>
            </w:r>
          </w:p>
        </w:tc>
      </w:tr>
      <w:tr>
        <w:tc>
          <w:tcPr>
            <w:tcW w:type="dxa" w:w="2400"/>
            <w:tcMar>
              <w:top w:type="dxa" w:w="60"/>
              <w:left w:type="dxa" w:w="100"/>
              <w:bottom w:type="dxa" w:w="60"/>
              <w:right w:type="dxa" w:w="100"/>
            </w:tcMar>
          </w:tcPr>
          <w:p>
            <w:pPr>
              <w:spacing w:after="0" w:before="0"/>
              <w:jc w:val="left"/>
            </w:pPr>
            <w:r>
              <w:rPr>
                <w:b w:val="false"/>
                <w:bCs w:val="false"/>
                <w:sz w:val="20"/>
                <w:szCs w:val="20"/>
              </w:rPr>
              <w:t xml:space="preserve">Yayımlanma tarihi</w:t>
            </w:r>
          </w:p>
        </w:tc>
        <w:tc>
          <w:tcPr>
            <w:tcW w:type="dxa" w:w="4100"/>
            <w:tcMar>
              <w:top w:type="dxa" w:w="60"/>
              <w:left w:type="dxa" w:w="100"/>
              <w:bottom w:type="dxa" w:w="60"/>
              <w:right w:type="dxa" w:w="100"/>
            </w:tcMar>
          </w:tcPr>
          <w:p>
            <w:pPr>
              <w:spacing w:after="0" w:before="0"/>
              <w:jc w:val="left"/>
            </w:pPr>
            <w:r>
              <w:rPr>
                <w:b w:val="false"/>
                <w:bCs w:val="false"/>
                <w:sz w:val="20"/>
                <w:szCs w:val="20"/>
              </w:rPr>
              <w:t xml:space="preserve">Resmî yayım tarihi</w:t>
            </w:r>
          </w:p>
        </w:tc>
        <w:tc>
          <w:tcPr>
            <w:tcW w:type="dxa" w:w="2500"/>
            <w:tcMar>
              <w:top w:type="dxa" w:w="60"/>
              <w:left w:type="dxa" w:w="100"/>
              <w:bottom w:type="dxa" w:w="60"/>
              <w:right w:type="dxa" w:w="100"/>
            </w:tcMar>
          </w:tcPr>
          <w:p>
            <w:pPr>
              <w:spacing w:after="0" w:before="0"/>
              <w:jc w:val="left"/>
            </w:pPr>
            <w:r>
              <w:rPr>
                <w:b w:val="false"/>
                <w:bCs w:val="false"/>
                <w:sz w:val="20"/>
                <w:szCs w:val="20"/>
              </w:rPr>
              <w:t xml:space="preserve">Kaynak belgeden doğrudan</w:t>
            </w:r>
          </w:p>
        </w:tc>
      </w:tr>
      <w:tr>
        <w:tc>
          <w:tcPr>
            <w:tcW w:type="dxa" w:w="24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Yayımlayan kurum</w:t>
            </w:r>
          </w:p>
        </w:tc>
        <w:tc>
          <w:tcPr>
            <w:tcW w:type="dxa" w:w="41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Düzenlemeyi yayımlayan otorite</w:t>
            </w:r>
          </w:p>
        </w:tc>
        <w:tc>
          <w:tcPr>
            <w:tcW w:type="dxa" w:w="25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Kaynak belgeden doğrudan</w:t>
            </w:r>
          </w:p>
        </w:tc>
      </w:tr>
      <w:tr>
        <w:tc>
          <w:tcPr>
            <w:tcW w:type="dxa" w:w="2400"/>
            <w:tcMar>
              <w:top w:type="dxa" w:w="60"/>
              <w:left w:type="dxa" w:w="100"/>
              <w:bottom w:type="dxa" w:w="60"/>
              <w:right w:type="dxa" w:w="100"/>
            </w:tcMar>
          </w:tcPr>
          <w:p>
            <w:pPr>
              <w:spacing w:after="0" w:before="0"/>
              <w:jc w:val="left"/>
            </w:pPr>
            <w:r>
              <w:rPr>
                <w:b w:val="false"/>
                <w:bCs w:val="false"/>
                <w:sz w:val="20"/>
                <w:szCs w:val="20"/>
              </w:rPr>
              <w:t xml:space="preserve">Düzenleme türü</w:t>
            </w:r>
          </w:p>
        </w:tc>
        <w:tc>
          <w:tcPr>
            <w:tcW w:type="dxa" w:w="4100"/>
            <w:tcMar>
              <w:top w:type="dxa" w:w="60"/>
              <w:left w:type="dxa" w:w="100"/>
              <w:bottom w:type="dxa" w:w="60"/>
              <w:right w:type="dxa" w:w="100"/>
            </w:tcMar>
          </w:tcPr>
          <w:p>
            <w:pPr>
              <w:spacing w:after="0" w:before="0"/>
              <w:jc w:val="left"/>
            </w:pPr>
            <w:r>
              <w:rPr>
                <w:b w:val="false"/>
                <w:bCs w:val="false"/>
                <w:sz w:val="20"/>
                <w:szCs w:val="20"/>
              </w:rPr>
              <w:t xml:space="preserve">Kanun, yönetmelik, tebliğ, kurul kararı, duyuru vb.</w:t>
            </w:r>
          </w:p>
        </w:tc>
        <w:tc>
          <w:tcPr>
            <w:tcW w:type="dxa" w:w="2500"/>
            <w:tcMar>
              <w:top w:type="dxa" w:w="60"/>
              <w:left w:type="dxa" w:w="100"/>
              <w:bottom w:type="dxa" w:w="60"/>
              <w:right w:type="dxa" w:w="100"/>
            </w:tcMar>
          </w:tcPr>
          <w:p>
            <w:pPr>
              <w:spacing w:after="0" w:before="0"/>
              <w:jc w:val="left"/>
            </w:pPr>
            <w:r>
              <w:rPr>
                <w:b w:val="false"/>
                <w:bCs w:val="false"/>
                <w:sz w:val="20"/>
                <w:szCs w:val="20"/>
              </w:rPr>
              <w:t xml:space="preserve">Yapay zeka sınıflandırması</w:t>
            </w:r>
          </w:p>
        </w:tc>
      </w:tr>
      <w:tr>
        <w:tc>
          <w:tcPr>
            <w:tcW w:type="dxa" w:w="24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Kısa içerik</w:t>
            </w:r>
          </w:p>
        </w:tc>
        <w:tc>
          <w:tcPr>
            <w:tcW w:type="dxa" w:w="41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Düzenlemenin konusunun özeti</w:t>
            </w:r>
          </w:p>
        </w:tc>
        <w:tc>
          <w:tcPr>
            <w:tcW w:type="dxa" w:w="25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Yapay zeka üretimi</w:t>
            </w:r>
          </w:p>
        </w:tc>
      </w:tr>
      <w:tr>
        <w:tc>
          <w:tcPr>
            <w:tcW w:type="dxa" w:w="2400"/>
            <w:tcMar>
              <w:top w:type="dxa" w:w="60"/>
              <w:left w:type="dxa" w:w="100"/>
              <w:bottom w:type="dxa" w:w="60"/>
              <w:right w:type="dxa" w:w="100"/>
            </w:tcMar>
          </w:tcPr>
          <w:p>
            <w:pPr>
              <w:spacing w:after="0" w:before="0"/>
              <w:jc w:val="left"/>
            </w:pPr>
            <w:r>
              <w:rPr>
                <w:b w:val="false"/>
                <w:bCs w:val="false"/>
                <w:sz w:val="20"/>
                <w:szCs w:val="20"/>
              </w:rPr>
              <w:t xml:space="preserve">Bankanın faaliyetleri açısından ilgili olabilecek konular</w:t>
            </w:r>
          </w:p>
        </w:tc>
        <w:tc>
          <w:tcPr>
            <w:tcW w:type="dxa" w:w="4100"/>
            <w:tcMar>
              <w:top w:type="dxa" w:w="60"/>
              <w:left w:type="dxa" w:w="100"/>
              <w:bottom w:type="dxa" w:w="60"/>
              <w:right w:type="dxa" w:w="100"/>
            </w:tcMar>
          </w:tcPr>
          <w:p>
            <w:pPr>
              <w:spacing w:after="0" w:before="0"/>
              <w:jc w:val="left"/>
            </w:pPr>
            <w:r>
              <w:rPr>
                <w:b w:val="false"/>
                <w:bCs w:val="false"/>
                <w:sz w:val="20"/>
                <w:szCs w:val="20"/>
              </w:rPr>
              <w:t xml:space="preserve">Düzenlemenin bankayı hangi yönleriyle ilgilendirebileceğine ilişkin kısa değerlendirme</w:t>
            </w:r>
          </w:p>
        </w:tc>
        <w:tc>
          <w:tcPr>
            <w:tcW w:type="dxa" w:w="2500"/>
            <w:tcMar>
              <w:top w:type="dxa" w:w="60"/>
              <w:left w:type="dxa" w:w="100"/>
              <w:bottom w:type="dxa" w:w="60"/>
              <w:right w:type="dxa" w:w="100"/>
            </w:tcMar>
          </w:tcPr>
          <w:p>
            <w:pPr>
              <w:spacing w:after="0" w:before="0"/>
              <w:jc w:val="left"/>
            </w:pPr>
            <w:r>
              <w:rPr>
                <w:b w:val="false"/>
                <w:bCs w:val="false"/>
                <w:sz w:val="20"/>
                <w:szCs w:val="20"/>
              </w:rPr>
              <w:t xml:space="preserve">Yapay zeka üretimi — gözden geçirme gerektirir</w:t>
            </w:r>
          </w:p>
        </w:tc>
      </w:tr>
      <w:tr>
        <w:tc>
          <w:tcPr>
            <w:tcW w:type="dxa" w:w="24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Kaynak bağlantısı</w:t>
            </w:r>
          </w:p>
        </w:tc>
        <w:tc>
          <w:tcPr>
            <w:tcW w:type="dxa" w:w="41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Düzenlemenin resmî yayım sayfasına ve varsa belge dosyasına erişim linki</w:t>
            </w:r>
          </w:p>
        </w:tc>
        <w:tc>
          <w:tcPr>
            <w:tcW w:type="dxa" w:w="2500"/>
            <w:shd w:fill="F6F8F9" w:color="auto" w:val="clear"/>
            <w:tcMar>
              <w:top w:type="dxa" w:w="60"/>
              <w:left w:type="dxa" w:w="100"/>
              <w:bottom w:type="dxa" w:w="60"/>
              <w:right w:type="dxa" w:w="100"/>
            </w:tcMar>
          </w:tcPr>
          <w:p>
            <w:pPr>
              <w:spacing w:after="0" w:before="0"/>
              <w:jc w:val="left"/>
            </w:pPr>
            <w:r>
              <w:rPr>
                <w:b w:val="false"/>
                <w:bCs w:val="false"/>
                <w:sz w:val="20"/>
                <w:szCs w:val="20"/>
              </w:rPr>
              <w:t xml:space="preserve">Sistem tarafından üretilir</w:t>
            </w:r>
          </w:p>
        </w:tc>
      </w:tr>
    </w:tbl>
    <w:p>
      <w:pPr>
        <w:spacing w:after="140" w:before="140" w:line="276"/>
        <w:jc w:val="both"/>
      </w:pPr>
      <w:r>
        <w:rPr>
          <w:b w:val="false"/>
          <w:bCs w:val="false"/>
          <w:i w:val="false"/>
          <w:iCs w:val="false"/>
          <w:sz w:val="21"/>
          <w:szCs w:val="21"/>
        </w:rPr>
        <w:t xml:space="preserve">Yukarıdaki tabloda "Üretim Kaynağı" sütunu, hangi alanların kaynak belgeden doğrudan alındığını, hangilerinin yapay zeka tarafından üretildiğini göstermektedir. Yapay zeka üretimi olan alanlar Başkanlık tarafından gözden geçirilmek üzere işaretlenir.</w:t>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500"/>
        <w:gridCol w:w="7500"/>
      </w:tblGrid>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Girdi</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İK-3 çıktısı: ilgili bulunan düzenleme kayıtları ve kaynak metinleri.</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İşlem</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Yukarıdaki başlıklara göre yapılandırılmış özetin üretilmesi; üretilen her ifadenin kaynak metinle doğrulanması; kaynak bağlantısının oluşturulması.</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Çıktı</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Yedi başlıklı yapılandırılmış özet ve kaynak erişim bağlantısı.</w:t>
            </w:r>
          </w:p>
        </w:tc>
      </w:tr>
    </w:tbl>
    <w:p>
      <w:pPr>
        <w:pStyle w:val="Heading2"/>
        <w:spacing w:after="100" w:before="280"/>
      </w:pPr>
      <w:r>
        <w:rPr>
          <w:b/>
          <w:bCs/>
          <w:color w:val="8A9BA3"/>
          <w:sz w:val="22"/>
          <w:szCs w:val="22"/>
        </w:rPr>
        <w:t xml:space="preserve">İK-5  </w:t>
      </w:r>
      <w:r>
        <w:rPr>
          <w:b/>
          <w:bCs/>
          <w:color w:val="1F4E5F"/>
          <w:sz w:val="23"/>
          <w:szCs w:val="23"/>
        </w:rPr>
        <w:t xml:space="preserve">Birim Eşleştirme Önerisi</w:t>
      </w:r>
    </w:p>
    <w:p>
      <w:pPr>
        <w:spacing w:after="140" w:before="80" w:line="276"/>
        <w:jc w:val="both"/>
      </w:pPr>
      <w:r>
        <w:rPr>
          <w:b w:val="false"/>
          <w:bCs w:val="false"/>
          <w:i w:val="false"/>
          <w:iCs w:val="false"/>
          <w:sz w:val="21"/>
          <w:szCs w:val="21"/>
        </w:rPr>
        <w:t xml:space="preserve">Her düzenleme için, banka organizasyonunda yer alan birimlerin görev alanlarıyla karşılaştırma yapılarak konunun hangi birimi veya birimleri ilgilendirebileceğine dair öneri üretilir. Bir düzenleme birden fazla birimi ilgilendirebileceğinden, öneri tek birimle sınırlı değildir. Her öneri, hangi görev alanıyla eşleştiğine dair kısa bir gerekçeyle birlikte sunulur; böylece Başkanlık öneriyi değerlendirirken dayanağını görebilir.</w:t>
      </w:r>
    </w:p>
    <w:p>
      <w:pPr>
        <w:spacing w:after="140" w:before="80" w:line="276"/>
        <w:jc w:val="both"/>
      </w:pPr>
      <w:r>
        <w:rPr>
          <w:b w:val="false"/>
          <w:bCs w:val="false"/>
          <w:i w:val="false"/>
          <w:iCs w:val="false"/>
          <w:sz w:val="21"/>
          <w:szCs w:val="21"/>
        </w:rPr>
        <w:t xml:space="preserve">Bu adım öneri niteliğindedir. Nihai birim kararı Başkanlığa aittir ve Portal üzerinden değiştirilebilir. Yapılan düzeltmeler kayıt altına alınarak önerilerin isabet oranının zaman içinde artırılmasında kullanılır.</w:t>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500"/>
        <w:gridCol w:w="7500"/>
      </w:tblGrid>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Girdi</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İK-4 çıktısı: düzenleme özeti. Ayrıca Başkanlık/İnsan Kaynakları tarafından temin edilecek güncel birim görev tanımları.</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İşlem</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Görev tanımlarının eşleştirmede kullanılabilecek yapılandırılmış bir bilgi tabanına dönüştürülmesi; düzenleme konusunun bu bilgi tabanıyla karşılaştırılarak ilgili birim(ler)in gerekçesiyle birlikte önerilmesi.</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Çıktı</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Bir veya birden fazla birim önerisi ve her öneri için kısa eşleştirme gerekçesi.</w:t>
            </w:r>
          </w:p>
        </w:tc>
      </w:tr>
    </w:tbl>
    <w:p>
      <w:pPr>
        <w:pStyle w:val="Heading2"/>
        <w:spacing w:after="100" w:before="280"/>
      </w:pPr>
      <w:r>
        <w:rPr>
          <w:b/>
          <w:bCs/>
          <w:color w:val="8A9BA3"/>
          <w:sz w:val="22"/>
          <w:szCs w:val="22"/>
        </w:rPr>
        <w:t xml:space="preserve">İK-6  </w:t>
      </w:r>
      <w:r>
        <w:rPr>
          <w:b/>
          <w:bCs/>
          <w:color w:val="1F4E5F"/>
          <w:sz w:val="23"/>
          <w:szCs w:val="23"/>
        </w:rPr>
        <w:t xml:space="preserve">Portal</w:t>
      </w:r>
    </w:p>
    <w:p>
      <w:pPr>
        <w:spacing w:after="140" w:before="80" w:line="276"/>
        <w:jc w:val="both"/>
      </w:pPr>
      <w:r>
        <w:rPr>
          <w:b w:val="false"/>
          <w:bCs w:val="false"/>
          <w:i w:val="false"/>
          <w:iCs w:val="false"/>
          <w:sz w:val="21"/>
          <w:szCs w:val="21"/>
        </w:rPr>
        <w:t xml:space="preserve">Başkanlığın süreci yönettiği arayüz geliştirilir. Portal üzerinde tespit edilen düzenlemeler listelenir; her kaydın özeti, önem derecesi, birim önerisi ve kaynak bağlantısı görüntülenebilir. Başkanlık kaydı onaylayabilir, reddedebilir veya birim önerisini değiştirebilir. Tüm işlemler kullanıcı ve zaman bilgisiyle kayıt altına alınır; bu kayıtlar denetim izi olarak saklanır.</w:t>
      </w:r>
    </w:p>
    <w:p>
      <w:pPr>
        <w:spacing w:after="140" w:before="80" w:line="276"/>
        <w:jc w:val="both"/>
      </w:pPr>
      <w:r>
        <w:rPr>
          <w:b w:val="false"/>
          <w:bCs w:val="false"/>
          <w:i w:val="false"/>
          <w:iCs w:val="false"/>
          <w:sz w:val="21"/>
          <w:szCs w:val="21"/>
        </w:rPr>
        <w:t xml:space="preserve">Faz 1 kapsamında Portal, Başkanlığın tespit edilen düzenlemeleri görüntülediği tek kanaldır. Outlook üzerinden e-posta bildirimi Faz 2 kapsamında ele alınacaktır.</w:t>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500"/>
        <w:gridCol w:w="7500"/>
      </w:tblGrid>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Girdi</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İK-4 ve İK-5 çıktıları: düzenleme özetleri ve birim önerileri.</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İşlem</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Liste ve detay ekranlarının geliştirilmesi; onay, red ve birim değiştirme işlevlerinin sağlanması; işlem kayıtlarının denetim izi olarak tutulması; yetkilendirme ve işlem kayıtlarının tutulması.</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Çıktı</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Başkanlık kullanımına açık Mevzuat Takip Portalı.</w:t>
            </w:r>
          </w:p>
        </w:tc>
      </w:tr>
    </w:tbl>
    <w:p>
      <w:pPr>
        <w:pStyle w:val="Heading2"/>
        <w:spacing w:after="100" w:before="280"/>
      </w:pPr>
      <w:r>
        <w:rPr>
          <w:b/>
          <w:bCs/>
          <w:color w:val="8A9BA3"/>
          <w:sz w:val="22"/>
          <w:szCs w:val="22"/>
        </w:rPr>
        <w:t xml:space="preserve">İK-7  </w:t>
      </w:r>
      <w:r>
        <w:rPr>
          <w:b/>
          <w:bCs/>
          <w:color w:val="1F4E5F"/>
          <w:sz w:val="23"/>
          <w:szCs w:val="23"/>
        </w:rPr>
        <w:t xml:space="preserve">Sürdürülebilirlik ve İzleme</w:t>
      </w:r>
    </w:p>
    <w:p>
      <w:pPr>
        <w:spacing w:after="140" w:before="80" w:line="276"/>
        <w:jc w:val="both"/>
      </w:pPr>
      <w:r>
        <w:rPr>
          <w:b w:val="false"/>
          <w:bCs w:val="false"/>
          <w:i w:val="false"/>
          <w:iCs w:val="false"/>
          <w:sz w:val="21"/>
          <w:szCs w:val="21"/>
        </w:rPr>
        <w:t xml:space="preserve">Taranan kurum sitelerinin sayfa yapısı zaman içinde değişebilir. Bu durumda veri toplama, hata vermeden ancak içerik getirmeden çalışmaya devam edebilir; sistem "bugün yayın yok" sonucu üretir ve sorun fark edilmeyebilir. Uyum süreçleri açısından en riskli durum budur.</w:t>
      </w:r>
    </w:p>
    <w:p>
      <w:pPr>
        <w:spacing w:after="140" w:before="80" w:line="276"/>
        <w:jc w:val="both"/>
      </w:pPr>
      <w:r>
        <w:rPr>
          <w:b w:val="false"/>
          <w:bCs w:val="false"/>
          <w:i w:val="false"/>
          <w:iCs w:val="false"/>
          <w:sz w:val="21"/>
          <w:szCs w:val="21"/>
        </w:rPr>
        <w:t xml:space="preserve">Bu riske karşı sistem, her kaynağın normal yayın davranışını izler ve beklenen sürede içerik gelmemesi durumunda alarm üretir. Ayrıca sayfa yapısında değişiklik belirtisi tespit edildiğinde erken uyarı verilir ve kaynaklar birbirine karşı çapraz kontrol edilir. Toplanan tüm ham içerik saklandığından, bir kaynakta yaşanan aksaklık giderildiğinde ilgili döneme ait içerik geriye dönük olarak yeniden işlenebilir; böylece aksaklık süresince veri kaybı yaşanmaz.</w:t>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500"/>
        <w:gridCol w:w="7500"/>
      </w:tblGrid>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Girdi</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İK-1 çıktısı: kaynak bazlı toplama kayıtları ve geçmiş yayın hacmi.</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İşlem</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Kaynak bazlı yayın davranışının izlenmesi; sessizlik ve hacim anomalisi alarmlarının kurulması; sayfa yapısı değişikliği için erken uyarı kontrolü; kaynaklar arası çapraz doğrulama.</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Çıktı</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Kaynak sağlık durumu izleme ve aksaklık durumunda üretilen alarmlar.</w:t>
            </w:r>
          </w:p>
        </w:tc>
      </w:tr>
    </w:tbl>
    <w:p>
      <w:pPr>
        <w:pStyle w:val="Heading2"/>
        <w:spacing w:after="100" w:before="280"/>
      </w:pPr>
      <w:r>
        <w:rPr>
          <w:b/>
          <w:bCs/>
          <w:color w:val="8A9BA3"/>
          <w:sz w:val="22"/>
          <w:szCs w:val="22"/>
        </w:rPr>
        <w:t xml:space="preserve">İK-8  </w:t>
      </w:r>
      <w:r>
        <w:rPr>
          <w:b/>
          <w:bCs/>
          <w:color w:val="1F4E5F"/>
          <w:sz w:val="23"/>
          <w:szCs w:val="23"/>
        </w:rPr>
        <w:t xml:space="preserve">Test, Paralel Çalışma ve Devreye Alma</w:t>
      </w:r>
    </w:p>
    <w:p>
      <w:pPr>
        <w:spacing w:after="140" w:before="80" w:line="276"/>
        <w:jc w:val="both"/>
      </w:pPr>
      <w:r>
        <w:rPr>
          <w:b w:val="false"/>
          <w:bCs w:val="false"/>
          <w:i w:val="false"/>
          <w:iCs w:val="false"/>
          <w:sz w:val="21"/>
          <w:szCs w:val="21"/>
        </w:rPr>
        <w:t xml:space="preserve">Sistem, üretime alınmadan önce bir süre Başkanlığın mevcut manuel süreciyle birlikte çalıştırılır. Bu dönemde sistemin tespit ettiği düzenlemeler ile Başkanlığın manuel olarak tespit ettikleri karşılaştırılır. Karşılaştırma sonucunda kaçırılan düzenleme olup olmadığı ve gereksiz bildirim oranı ölçülür; ilgililik eşiği bu ölçüme göre Başkanlıkla birlikte ayarlanır.</w:t>
      </w:r>
    </w:p>
    <w:p>
      <w:pPr>
        <w:spacing w:after="140" w:before="80" w:line="276"/>
        <w:jc w:val="both"/>
      </w:pPr>
      <w:r>
        <w:rPr>
          <w:b w:val="false"/>
          <w:bCs w:val="false"/>
          <w:i w:val="false"/>
          <w:iCs w:val="false"/>
          <w:sz w:val="21"/>
          <w:szCs w:val="21"/>
        </w:rPr>
        <w:t xml:space="preserve">Paralel çalışma dönemi, sistemin devreye alınabilmesi için bir kabul aşamasıdır. Bu dönem tamamlanmadan üretime geçilmez.</w:t>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500"/>
        <w:gridCol w:w="7500"/>
      </w:tblGrid>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Girdi</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Geliştirilmiş sistem ve Başkanlığın manuel takip sonuçları.</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İşlem</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Fonksiyonel ve entegrasyon testlerinin yürütülmesi; belirlenen süre boyunca paralel çalışma; sonuçların karşılaştırılarak kaçırma ve gereksiz bildirim oranının ölçülmesi; kullanıcı kabul testi; kullanım ve teknik dokümantasyonun hazırlanması; üretim ortamına geçiş.</w:t>
            </w:r>
          </w:p>
        </w:tc>
      </w:tr>
      <w:tr>
        <w:tc>
          <w:tcPr>
            <w:tcW w:type="dxa" w:w="1500"/>
            <w:shd w:fill="EEF3F5" w:color="auto" w:val="clear"/>
            <w:tcMar>
              <w:top w:type="dxa" w:w="60"/>
              <w:left w:type="dxa" w:w="100"/>
              <w:bottom w:type="dxa" w:w="60"/>
              <w:right w:type="dxa" w:w="100"/>
            </w:tcMar>
          </w:tcPr>
          <w:p>
            <w:pPr>
              <w:spacing w:after="0" w:before="0"/>
              <w:jc w:val="left"/>
            </w:pPr>
            <w:r>
              <w:rPr>
                <w:b/>
                <w:bCs/>
                <w:sz w:val="20"/>
                <w:szCs w:val="20"/>
              </w:rPr>
              <w:t xml:space="preserve">Çıktı</w:t>
            </w:r>
          </w:p>
        </w:tc>
        <w:tc>
          <w:tcPr>
            <w:tcW w:type="dxa" w:w="7500"/>
            <w:tcMar>
              <w:top w:type="dxa" w:w="60"/>
              <w:left w:type="dxa" w:w="100"/>
              <w:bottom w:type="dxa" w:w="60"/>
              <w:right w:type="dxa" w:w="100"/>
            </w:tcMar>
          </w:tcPr>
          <w:p>
            <w:pPr>
              <w:spacing w:after="0" w:before="0"/>
              <w:jc w:val="left"/>
            </w:pPr>
            <w:r>
              <w:rPr>
                <w:b w:val="false"/>
                <w:bCs w:val="false"/>
                <w:sz w:val="20"/>
                <w:szCs w:val="20"/>
              </w:rPr>
              <w:t xml:space="preserve">Kabul edilmiş ve üretim ortamında çalışır durumdaki uygulama, kullanım dokümantasyonu ve paralel çalışma sonuç raporu.</w:t>
            </w:r>
          </w:p>
        </w:tc>
      </w:tr>
    </w:tbl>
    <w:p>
      <w:pPr>
        <w:pStyle w:val="Heading1"/>
        <w:pBdr>
          <w:bottom w:val="single" w:color="BBC9D0" w:sz="6" w:space="4"/>
        </w:pBdr>
        <w:spacing w:after="150" w:before="340"/>
      </w:pPr>
      <w:r>
        <w:rPr>
          <w:b/>
          <w:bCs/>
          <w:color w:val="1F4E5F"/>
          <w:sz w:val="26"/>
          <w:szCs w:val="26"/>
        </w:rPr>
        <w:t xml:space="preserve">İŞ KIRILIMI ve ADAM/GÜN TABLOSU</w:t>
      </w:r>
    </w:p>
    <w:p>
      <w:pPr>
        <w:spacing w:after="140" w:before="80" w:line="276"/>
        <w:jc w:val="both"/>
      </w:pPr>
      <w:r>
        <w:rPr>
          <w:b w:val="false"/>
          <w:bCs w:val="false"/>
          <w:i w:val="false"/>
          <w:iCs w:val="false"/>
          <w:sz w:val="21"/>
          <w:szCs w:val="21"/>
        </w:rPr>
        <w:t xml:space="preserve">Aşağıdaki tabloda, yukarıda tanımlanan iş kırılımlarının alt kalemleri ve tahmini adam/gün değerleri yer almaktadır.</w:t>
      </w:r>
    </w:p>
    <w:p>
      <w:pPr>
        <w:spacing w:after="60" w:before="0"/>
      </w:pPr>
      <w:r>
        <w:t xml:space="preserve"/>
      </w:r>
    </w:p>
    <w:tbl>
      <w:tblPr>
        <w:tblW w:type="dxa" w:w="9000"/>
        <w:tblBorders>
          <w:top w:val="single" w:color="BBC9D0" w:sz="2"/>
          <w:left w:val="single" w:color="BBC9D0" w:sz="2"/>
          <w:bottom w:val="single" w:color="BBC9D0" w:sz="2"/>
          <w:right w:val="single" w:color="BBC9D0" w:sz="2"/>
          <w:insideH w:val="single" w:color="DCE4E8" w:sz="2"/>
          <w:insideV w:val="single" w:color="DCE4E8" w:sz="2"/>
        </w:tblBorders>
      </w:tblPr>
      <w:tblGrid>
        <w:gridCol w:w="1100"/>
        <w:gridCol w:w="6400"/>
        <w:gridCol w:w="1500"/>
      </w:tblGrid>
      <w:tr>
        <w:trPr>
          <w:tblHeader/>
        </w:trPr>
        <w:tc>
          <w:tcPr>
            <w:tcW w:type="dxa" w:w="1100"/>
            <w:shd w:fill="E8EEF1" w:color="auto" w:val="clear"/>
            <w:tcMar>
              <w:top w:type="dxa" w:w="60"/>
              <w:left w:type="dxa" w:w="100"/>
              <w:bottom w:type="dxa" w:w="60"/>
              <w:right w:type="dxa" w:w="100"/>
            </w:tcMar>
          </w:tcPr>
          <w:p>
            <w:pPr>
              <w:spacing w:after="0" w:before="0"/>
              <w:jc w:val="left"/>
            </w:pPr>
            <w:r>
              <w:rPr>
                <w:b/>
                <w:bCs/>
                <w:color w:val="1F4E5F"/>
                <w:sz w:val="20"/>
                <w:szCs w:val="20"/>
              </w:rPr>
              <w:t xml:space="preserve">Kırılım</w:t>
            </w:r>
          </w:p>
        </w:tc>
        <w:tc>
          <w:tcPr>
            <w:tcW w:type="dxa" w:w="6400"/>
            <w:shd w:fill="E8EEF1" w:color="auto" w:val="clear"/>
            <w:tcMar>
              <w:top w:type="dxa" w:w="60"/>
              <w:left w:type="dxa" w:w="100"/>
              <w:bottom w:type="dxa" w:w="60"/>
              <w:right w:type="dxa" w:w="100"/>
            </w:tcMar>
          </w:tcPr>
          <w:p>
            <w:pPr>
              <w:spacing w:after="0" w:before="0"/>
              <w:jc w:val="left"/>
            </w:pPr>
            <w:r>
              <w:rPr>
                <w:b/>
                <w:bCs/>
                <w:color w:val="1F4E5F"/>
                <w:sz w:val="20"/>
                <w:szCs w:val="20"/>
              </w:rPr>
              <w:t xml:space="preserve">Tüm Yapılacaklar (iş bazında)</w:t>
            </w:r>
          </w:p>
        </w:tc>
        <w:tc>
          <w:tcPr>
            <w:tcW w:type="dxa" w:w="1500"/>
            <w:shd w:fill="E8EEF1" w:color="auto" w:val="clear"/>
            <w:tcMar>
              <w:top w:type="dxa" w:w="60"/>
              <w:left w:type="dxa" w:w="100"/>
              <w:bottom w:type="dxa" w:w="60"/>
              <w:right w:type="dxa" w:w="100"/>
            </w:tcMar>
          </w:tcPr>
          <w:p>
            <w:pPr>
              <w:spacing w:after="0" w:before="0"/>
              <w:jc w:val="left"/>
            </w:pPr>
            <w:r>
              <w:rPr>
                <w:b/>
                <w:bCs/>
                <w:color w:val="1F4E5F"/>
                <w:sz w:val="20"/>
                <w:szCs w:val="20"/>
              </w:rPr>
              <w:t xml:space="preserve">Adam/Gün</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İK-1</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Kaynak envanteri ve teknik keşif</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İK-1</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Ağ/DMZ mimarisi tasarımı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İK-1</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Firewall istisna süreci ve bağlantı testi</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İK-1</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Ham toplayıcı MVP (Resmî Gazete + 2 kaynak)</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İK-1</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Öncelikli kaynak adaptörleri (4 kaynak)</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İK-1</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Kalan kaynak adaptörleri (3-4 kaynak)</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İK-1</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KEP posta kutusu bağlantısı</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İK-2</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PDF/HTML ayrıştırma</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İK-2</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OCR entegrasyonu</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İK-2</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Tekilleştirme ve kanonik düzenleme kaydı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İK-3</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Mevcut süreç gözlemi ve örnek doküman temini</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İK-3</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Konu taksonomisi ve etiketleme kılavuzu çalıştayı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İK-3</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İlgililik tespiti tasarımı ve güven skoru</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İK-3</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Değerlendirme seti hazırlığı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İK-3</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Önceliklendirme kuralları</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1</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İK-4</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Özet şablonu ve içerik üretimi tasarımı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İK-4</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Kaynak doğrulama ve bağlantı üretimi</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İK-5</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Birim görev tanımları bilgi tabanı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İK-5</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Birim eşleştirme önerisi ve gerekçe üretimi</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İK-6</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Portal — liste ve detay ekranı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İK-6</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Portal — onay/red, birim değiştirme, denetim izi</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İK-7</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Kaynak sağlık izleme, sessizlik ve hacim alarmı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İK-7</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Yapı değişikliği erken uyarısı ve çapraz doğrulama</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İK-8</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Fonksiyonel ve entegrasyon testleri</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İK-8</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Paralel çalışma — kurulum ve izleme</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shd w:fill="F6F8F9" w:color="auto" w:val="clear"/>
            <w:tcW w:type="dxa" w:w="1100"/>
            <w:tcMar>
              <w:top w:type="dxa" w:w="60"/>
              <w:left w:type="dxa" w:w="100"/>
              <w:bottom w:type="dxa" w:w="60"/>
              <w:right w:type="dxa" w:w="100"/>
            </w:tcMar>
          </w:tcPr>
          <w:p>
            <w:pPr>
              <w:spacing w:after="0" w:before="0"/>
              <w:jc w:val="left"/>
            </w:pPr>
            <w:r>
              <w:rPr>
                <w:b w:val="false"/>
                <w:bCs w:val="false"/>
                <w:sz w:val="20"/>
                <w:szCs w:val="20"/>
              </w:rPr>
              <w:t xml:space="preserve">İK-8</w:t>
            </w:r>
          </w:p>
        </w:tc>
        <w:tc>
          <w:tcPr>
            <w:shd w:fill="F6F8F9" w:color="auto" w:val="clear"/>
            <w:tcW w:type="dxa" w:w="6400"/>
            <w:tcMar>
              <w:top w:type="dxa" w:w="60"/>
              <w:left w:type="dxa" w:w="100"/>
              <w:bottom w:type="dxa" w:w="60"/>
              <w:right w:type="dxa" w:w="100"/>
            </w:tcMar>
          </w:tcPr>
          <w:p>
            <w:pPr>
              <w:spacing w:after="0" w:before="0"/>
              <w:jc w:val="left"/>
            </w:pPr>
            <w:r>
              <w:rPr>
                <w:b w:val="false"/>
                <w:bCs w:val="false"/>
                <w:sz w:val="20"/>
                <w:szCs w:val="20"/>
              </w:rPr>
              <w:t xml:space="preserve">Paralel çalışma — sonuç analizi ve eşik ayarı</w:t>
            </w:r>
          </w:p>
        </w:tc>
        <w:tc>
          <w:tcPr>
            <w:shd w:fill="F6F8F9" w:color="auto" w:val="clear"/>
            <w:tcW w:type="dxa" w:w="1500"/>
            <w:tcMar>
              <w:top w:type="dxa" w:w="60"/>
              <w:left w:type="dxa" w:w="100"/>
              <w:bottom w:type="dxa" w:w="60"/>
              <w:right w:type="dxa" w:w="100"/>
            </w:tcMar>
          </w:tcPr>
          <w:p>
            <w:pPr>
              <w:spacing w:after="0" w:before="0"/>
              <w:jc w:val="left"/>
            </w:pPr>
            <w:r>
              <w:rPr>
                <w:b w:val="false"/>
                <w:bCs w:val="false"/>
                <w:sz w:val="20"/>
                <w:szCs w:val="20"/>
              </w:rPr>
              <w:t xml:space="preserve">2</w:t>
            </w:r>
          </w:p>
        </w:tc>
      </w:tr>
      <w:tr>
        <w:tc>
          <w:tcPr>
            <w:tcW w:type="dxa" w:w="1100"/>
            <w:tcMar>
              <w:top w:type="dxa" w:w="60"/>
              <w:left w:type="dxa" w:w="100"/>
              <w:bottom w:type="dxa" w:w="60"/>
              <w:right w:type="dxa" w:w="100"/>
            </w:tcMar>
          </w:tcPr>
          <w:p>
            <w:pPr>
              <w:spacing w:after="0" w:before="0"/>
              <w:jc w:val="left"/>
            </w:pPr>
            <w:r>
              <w:rPr>
                <w:b w:val="false"/>
                <w:bCs w:val="false"/>
                <w:sz w:val="20"/>
                <w:szCs w:val="20"/>
              </w:rPr>
              <w:t xml:space="preserve">İK-8</w:t>
            </w:r>
          </w:p>
        </w:tc>
        <w:tc>
          <w:tcPr>
            <w:tcW w:type="dxa" w:w="6400"/>
            <w:tcMar>
              <w:top w:type="dxa" w:w="60"/>
              <w:left w:type="dxa" w:w="100"/>
              <w:bottom w:type="dxa" w:w="60"/>
              <w:right w:type="dxa" w:w="100"/>
            </w:tcMar>
          </w:tcPr>
          <w:p>
            <w:pPr>
              <w:spacing w:after="0" w:before="0"/>
              <w:jc w:val="left"/>
            </w:pPr>
            <w:r>
              <w:rPr>
                <w:b w:val="false"/>
                <w:bCs w:val="false"/>
                <w:sz w:val="20"/>
                <w:szCs w:val="20"/>
              </w:rPr>
              <w:t xml:space="preserve">UAT, dokümantasyon ve devreye alma</w:t>
            </w:r>
          </w:p>
        </w:tc>
        <w:tc>
          <w:tcPr>
            <w:tcW w:type="dxa" w:w="1500"/>
            <w:tcMar>
              <w:top w:type="dxa" w:w="60"/>
              <w:left w:type="dxa" w:w="100"/>
              <w:bottom w:type="dxa" w:w="60"/>
              <w:right w:type="dxa" w:w="100"/>
            </w:tcMar>
          </w:tcPr>
          <w:p>
            <w:pPr>
              <w:spacing w:after="0" w:before="0"/>
              <w:jc w:val="left"/>
            </w:pPr>
            <w:r>
              <w:rPr>
                <w:b w:val="false"/>
                <w:bCs w:val="false"/>
                <w:sz w:val="20"/>
                <w:szCs w:val="20"/>
              </w:rPr>
              <w:t xml:space="preserve">3</w:t>
            </w:r>
          </w:p>
        </w:tc>
      </w:tr>
      <w:tr>
        <w:tc>
          <w:tcPr>
            <w:tcW w:type="dxa" w:w="1100"/>
            <w:shd w:fill="E8EEF1" w:color="auto" w:val="clear"/>
            <w:tcMar>
              <w:top w:type="dxa" w:w="60"/>
              <w:left w:type="dxa" w:w="100"/>
              <w:bottom w:type="dxa" w:w="60"/>
              <w:right w:type="dxa" w:w="100"/>
            </w:tcMar>
          </w:tcPr>
          <w:p>
            <w:pPr>
              <w:spacing w:after="0" w:before="0"/>
              <w:jc w:val="left"/>
            </w:pPr>
            <w:r>
              <w:rPr>
                <w:b/>
                <w:bCs/>
                <w:sz w:val="20"/>
                <w:szCs w:val="20"/>
              </w:rPr>
              <w:t xml:space="preserve"/>
            </w:r>
          </w:p>
        </w:tc>
        <w:tc>
          <w:tcPr>
            <w:tcW w:type="dxa" w:w="6400"/>
            <w:shd w:fill="E8EEF1" w:color="auto" w:val="clear"/>
            <w:tcMar>
              <w:top w:type="dxa" w:w="60"/>
              <w:left w:type="dxa" w:w="100"/>
              <w:bottom w:type="dxa" w:w="60"/>
              <w:right w:type="dxa" w:w="100"/>
            </w:tcMar>
          </w:tcPr>
          <w:p>
            <w:pPr>
              <w:spacing w:after="0" w:before="0"/>
              <w:jc w:val="left"/>
            </w:pPr>
            <w:r>
              <w:rPr>
                <w:b/>
                <w:bCs/>
                <w:sz w:val="20"/>
                <w:szCs w:val="20"/>
              </w:rPr>
              <w:t xml:space="preserve">Toplam Maliyet</w:t>
            </w:r>
          </w:p>
        </w:tc>
        <w:tc>
          <w:tcPr>
            <w:tcW w:type="dxa" w:w="1500"/>
            <w:shd w:fill="E8EEF1" w:color="auto" w:val="clear"/>
            <w:tcMar>
              <w:top w:type="dxa" w:w="60"/>
              <w:left w:type="dxa" w:w="100"/>
              <w:bottom w:type="dxa" w:w="60"/>
              <w:right w:type="dxa" w:w="100"/>
            </w:tcMar>
          </w:tcPr>
          <w:p>
            <w:pPr>
              <w:spacing w:after="0" w:before="0"/>
              <w:jc w:val="left"/>
            </w:pPr>
            <w:r>
              <w:rPr>
                <w:b/>
                <w:bCs/>
                <w:sz w:val="20"/>
                <w:szCs w:val="20"/>
              </w:rPr>
              <w:t xml:space="preserve">67</w:t>
            </w:r>
          </w:p>
        </w:tc>
      </w:tr>
    </w:tbl>
    <w:p>
      <w:pPr>
        <w:spacing w:after="140" w:before="140" w:line="276"/>
        <w:jc w:val="both"/>
      </w:pPr>
      <w:r>
        <w:rPr>
          <w:b w:val="false"/>
          <w:bCs w:val="false"/>
          <w:i w:val="false"/>
          <w:iCs w:val="false"/>
          <w:sz w:val="21"/>
          <w:szCs w:val="21"/>
        </w:rPr>
        <w:t xml:space="preserve">Toplam tahmini efor 67 adam/gündür. Her bir iş kalemi azami 3 adam/gün olacak şekilde detaylandırılmıştır.</w:t>
      </w:r>
    </w:p>
    <w:p>
      <w:pPr>
        <w:pStyle w:val="Heading1"/>
        <w:pBdr>
          <w:bottom w:val="single" w:color="BBC9D0" w:sz="6" w:space="4"/>
        </w:pBdr>
        <w:spacing w:after="150" w:before="340"/>
      </w:pPr>
      <w:r>
        <w:rPr>
          <w:b/>
          <w:bCs/>
          <w:color w:val="1F4E5F"/>
          <w:sz w:val="26"/>
          <w:szCs w:val="26"/>
        </w:rPr>
        <w:t xml:space="preserve">TALEBE AİT DİĞER NOTLAR</w:t>
      </w:r>
    </w:p>
    <w:p>
      <w:pPr>
        <w:pStyle w:val="ListParagraph"/>
        <w:numPr>
          <w:ilvl w:val="0"/>
          <w:numId w:val="2"/>
        </w:numPr>
        <w:spacing w:after="100" w:before="100" w:line="276"/>
      </w:pPr>
      <w:r>
        <w:rPr>
          <w:b/>
          <w:bCs/>
          <w:sz w:val="21"/>
          <w:szCs w:val="21"/>
        </w:rPr>
        <w:t xml:space="preserve">Faz kapsamı: </w:t>
      </w:r>
      <w:r>
        <w:rPr>
          <w:sz w:val="21"/>
          <w:szCs w:val="21"/>
        </w:rPr>
        <w:t xml:space="preserve">Bu form Faz 1'i kapsamaktadır. Outlook üzerinden e-posta bildirimi ile Başkanlık onayı sonrasında ilgili birimlere otomatik yönlendirme/bildirim yapılması Faz 2 olarak ayrıca değerlendirilecektir. Faz 1 kapsamında birim eşleştirmesi yalnızca öneri olarak üretilir ve Portal üzerinde gösterilir.</w:t>
      </w:r>
    </w:p>
    <w:p>
      <w:pPr>
        <w:pStyle w:val="ListParagraph"/>
        <w:numPr>
          <w:ilvl w:val="0"/>
          <w:numId w:val="2"/>
        </w:numPr>
        <w:spacing w:after="100" w:before="100" w:line="276"/>
      </w:pPr>
      <w:r>
        <w:rPr>
          <w:b/>
          <w:bCs/>
          <w:sz w:val="21"/>
          <w:szCs w:val="21"/>
        </w:rPr>
        <w:t xml:space="preserve">Özet başlıkları: </w:t>
      </w:r>
      <w:r>
        <w:rPr>
          <w:sz w:val="21"/>
          <w:szCs w:val="21"/>
        </w:rPr>
        <w:t xml:space="preserve">İK-4 altındaki özet başlıkları, iş birimi tarafından iletilen listeye göre düzenlenmiştir. İletilen listedeki "Kaynak Bağlantısı" ve "Kaynağına ilişkin erişim sağlayacak bağlantı linki" maddeleri aynı içeriği tarif ettiğinden tek başlıkta birleştirilmiştir. Bu iki maddeden farklı içerikler (örneğin yayım sayfası ve belge dosyası bağlantısının ayrı tutulması) bekleniyorsa Başkanlık tarafından netleştirilmesi gerekmektedir.</w:t>
      </w:r>
    </w:p>
    <w:p>
      <w:pPr>
        <w:pStyle w:val="ListParagraph"/>
        <w:numPr>
          <w:ilvl w:val="0"/>
          <w:numId w:val="2"/>
        </w:numPr>
        <w:spacing w:after="100" w:before="100" w:line="276"/>
      </w:pPr>
      <w:r>
        <w:rPr>
          <w:b/>
          <w:bCs/>
          <w:sz w:val="21"/>
          <w:szCs w:val="21"/>
        </w:rPr>
        <w:t xml:space="preserve">Devreye alma sonrası bakım: </w:t>
      </w:r>
      <w:r>
        <w:rPr>
          <w:sz w:val="21"/>
          <w:szCs w:val="21"/>
        </w:rPr>
        <w:t xml:space="preserve">Taranan kurum sitelerinin yapısındaki değişiklikler nedeniyle kaynak adaptörlerinin periyodik bakımı gerekmektedir. Bu bakım eforu bu formun kapsamı dışında olup, devreye alma sonrası için ayrıca planlanmalıdır.</w:t>
      </w:r>
    </w:p>
    <w:p>
      <w:pPr>
        <w:pStyle w:val="ListParagraph"/>
        <w:numPr>
          <w:ilvl w:val="0"/>
          <w:numId w:val="2"/>
        </w:numPr>
        <w:spacing w:after="100" w:before="100" w:line="276"/>
      </w:pPr>
      <w:r>
        <w:rPr>
          <w:b/>
          <w:bCs/>
          <w:sz w:val="21"/>
          <w:szCs w:val="21"/>
        </w:rPr>
        <w:t xml:space="preserve">Kaynak listesi kesinliği: </w:t>
      </w:r>
      <w:r>
        <w:rPr>
          <w:sz w:val="21"/>
          <w:szCs w:val="21"/>
        </w:rPr>
        <w:t xml:space="preserve">Günlük kontrol edilecek web sitelerinin tam listesi netleştikçe kaynak sayısındaki değişiklik İK-1 altındaki adaptör kalemlerinin eforunu etkileyebilir.</w:t>
      </w:r>
    </w:p>
    <w:p>
      <w:pPr>
        <w:pStyle w:val="ListParagraph"/>
        <w:numPr>
          <w:ilvl w:val="0"/>
          <w:numId w:val="2"/>
        </w:numPr>
        <w:spacing w:after="100" w:before="100" w:line="276"/>
      </w:pPr>
      <w:r>
        <w:rPr>
          <w:b/>
          <w:bCs/>
          <w:sz w:val="21"/>
          <w:szCs w:val="21"/>
        </w:rPr>
        <w:t xml:space="preserve">Tahmin yöntemi: </w:t>
      </w:r>
      <w:r>
        <w:rPr>
          <w:sz w:val="21"/>
          <w:szCs w:val="21"/>
        </w:rPr>
        <w:t xml:space="preserve">Adam/gün tahminleri kapsam planlaması amacıyla hazırlanmış olup resmi bir teklif/sözleşme değeri niteliğinde değildir.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2026-08-31T07:17:02.767Z</dcterms:created>
  <dcterms:modified xsi:type="dcterms:W3CDTF">2026-08-31T07:17:02.767Z</dcterms:modified>
</cp:coreProperties>
</file>

<file path=docProps/custom.xml><?xml version="1.0" encoding="utf-8"?>
<Properties xmlns="http://schemas.openxmlformats.org/officeDocument/2006/custom-properties" xmlns:vt="http://schemas.openxmlformats.org/officeDocument/2006/docPropsVTypes"/>
</file>