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6C" w:rsidRPr="005548B3" w:rsidRDefault="00C805B3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Ciência da Computação</w:t>
      </w:r>
    </w:p>
    <w:p w:rsidR="0029576C" w:rsidRDefault="0029576C">
      <w:pPr>
        <w:rPr>
          <w:rFonts w:ascii="Arial" w:hAnsi="Arial" w:cs="Arial"/>
          <w:sz w:val="24"/>
          <w:szCs w:val="24"/>
          <w:lang w:val="pt-BR"/>
        </w:rPr>
      </w:pPr>
    </w:p>
    <w:p w:rsidR="0029576C" w:rsidRDefault="0029576C">
      <w:pPr>
        <w:spacing w:line="360" w:lineRule="auto"/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lang w:val="pt-BR"/>
        </w:rPr>
      </w:pPr>
      <w:r>
        <w:rPr>
          <w:rFonts w:ascii="Arial" w:hAnsi="Arial"/>
          <w:sz w:val="24"/>
          <w:szCs w:val="24"/>
          <w:lang w:val="pt-BR"/>
        </w:rPr>
        <w:t>Índice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 do trabalho</w:t>
      </w:r>
    </w:p>
    <w:p w:rsidR="000E5BB6" w:rsidRDefault="000E5BB6">
      <w:pPr>
        <w:rPr>
          <w:lang w:val="pt-BR"/>
        </w:rPr>
      </w:pPr>
    </w:p>
    <w:p w:rsidR="0029576C" w:rsidRDefault="000E5BB6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0E5BB6">
        <w:rPr>
          <w:rFonts w:ascii="Arial" w:hAnsi="Arial" w:cs="Arial"/>
          <w:sz w:val="24"/>
          <w:szCs w:val="24"/>
          <w:lang w:val="pt-BR"/>
        </w:rPr>
        <w:t xml:space="preserve">O objetivo deste trabalho é </w:t>
      </w:r>
      <w:r w:rsidRPr="000E5BB6">
        <w:rPr>
          <w:rFonts w:ascii="Arial" w:hAnsi="Arial" w:cs="Arial"/>
          <w:b/>
          <w:sz w:val="24"/>
          <w:szCs w:val="24"/>
          <w:lang w:val="pt-BR"/>
        </w:rPr>
        <w:t>i</w:t>
      </w:r>
      <w:r w:rsidR="00C805B3" w:rsidRPr="000E5BB6">
        <w:rPr>
          <w:rFonts w:ascii="Arial" w:hAnsi="Arial" w:cs="Arial"/>
          <w:b/>
          <w:color w:val="000000"/>
          <w:sz w:val="24"/>
          <w:szCs w:val="24"/>
          <w:lang w:val="pt-BR"/>
        </w:rPr>
        <w:t>nformar o cidadão médio sobre o uso da água na agricultura e as formas de tornar esta atividade mais sustentável</w:t>
      </w:r>
      <w:r>
        <w:rPr>
          <w:rFonts w:ascii="Arial" w:hAnsi="Arial" w:cs="Arial"/>
          <w:color w:val="000000"/>
          <w:sz w:val="24"/>
          <w:szCs w:val="24"/>
          <w:lang w:val="pt-BR"/>
        </w:rPr>
        <w:t>.</w:t>
      </w:r>
    </w:p>
    <w:p w:rsidR="000E5BB6" w:rsidRPr="000E5BB6" w:rsidRDefault="000E5BB6">
      <w:pPr>
        <w:rPr>
          <w:rFonts w:ascii="Arial" w:hAnsi="Arial" w:cs="Arial"/>
          <w:sz w:val="24"/>
          <w:szCs w:val="24"/>
          <w:lang w:val="pt-BR"/>
        </w:rPr>
      </w:pPr>
    </w:p>
    <w:p w:rsidR="0029576C" w:rsidRPr="000E5BB6" w:rsidRDefault="0029576C">
      <w:pPr>
        <w:rPr>
          <w:rFonts w:ascii="Arial" w:hAnsi="Arial"/>
          <w:b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0E5BB6" w:rsidRDefault="00C805B3" w:rsidP="000E5BB6">
      <w:pPr>
        <w:pStyle w:val="PargrafodaLista"/>
        <w:numPr>
          <w:ilvl w:val="0"/>
          <w:numId w:val="1"/>
        </w:numPr>
        <w:rPr>
          <w:rFonts w:ascii="Arial" w:hAnsi="Arial"/>
          <w:lang w:val="pt-BR"/>
        </w:rPr>
      </w:pPr>
      <w:r w:rsidRPr="000E5BB6">
        <w:rPr>
          <w:rFonts w:ascii="Arial" w:hAnsi="Arial"/>
          <w:sz w:val="24"/>
          <w:szCs w:val="24"/>
          <w:lang w:val="pt-BR"/>
        </w:rPr>
        <w:t>Introdução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água é, talvez, a substância mais importante da Terra. Cerca de 70% da superfície planeta é composta por água e mais de dois terços do peso do corpo humano é água </w:t>
      </w:r>
      <w:sdt>
        <w:sdtPr>
          <w:rPr>
            <w:rFonts w:ascii="Arial" w:hAnsi="Arial"/>
            <w:sz w:val="24"/>
            <w:szCs w:val="24"/>
            <w:lang w:val="pt-BR"/>
          </w:rPr>
          <w:id w:val="1438021158"/>
          <w:citation/>
        </w:sdtPr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Pop10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Pr="005548B3">
            <w:rPr>
              <w:rFonts w:ascii="Arial" w:hAnsi="Arial"/>
              <w:noProof/>
              <w:sz w:val="24"/>
              <w:szCs w:val="24"/>
              <w:lang w:val="pt-BR"/>
            </w:rPr>
            <w:t>(Popkin, D’Anci, &amp; Rosenberg, 2010)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 A água é utilizada em praticamente todos os processos produtivos seja no arrefecimento de um material ou hidratando equipes de trabalhadores por isso deve ser utilizada de forma responsável por todos.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importância da água na vida terrestre é notória, estudos da </w:t>
      </w:r>
      <w:r w:rsidRPr="00A032DE">
        <w:rPr>
          <w:rFonts w:ascii="Arial" w:hAnsi="Arial"/>
          <w:sz w:val="24"/>
          <w:szCs w:val="24"/>
          <w:lang w:val="pt-BR"/>
        </w:rPr>
        <w:t>Organização das Nações Unidas para a Educação, a Ciência e a Cultura</w:t>
      </w:r>
      <w:r>
        <w:rPr>
          <w:rFonts w:ascii="Arial" w:hAnsi="Arial"/>
          <w:sz w:val="24"/>
          <w:szCs w:val="24"/>
          <w:lang w:val="pt-BR"/>
        </w:rPr>
        <w:t>(UNESCO) apontam que com o consumo da água cresce duas vezes mais que a população, a estimativa até 2050 é que o consumo de água aumente em até 55%.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Com o frequente consumo de água e o crescimento anual do gasto de água, estima-se que até 2030 o mundo enfrentará mais um déficit no abastecimento de água no planeta, cerca de 40%.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Aproximadamente 4% do uso da água pela humanidade se relaciona ao uso doméstico e m</w:t>
      </w:r>
      <w:r w:rsidRPr="005548B3">
        <w:rPr>
          <w:rFonts w:ascii="Arial" w:hAnsi="Arial"/>
          <w:sz w:val="24"/>
          <w:szCs w:val="24"/>
          <w:lang w:val="pt-BR"/>
        </w:rPr>
        <w:t>ais de 80% do consumo de água no mundo é relacionada à agricultura</w:t>
      </w:r>
      <w:r>
        <w:rPr>
          <w:rFonts w:ascii="Arial" w:hAnsi="Arial"/>
          <w:sz w:val="24"/>
          <w:szCs w:val="24"/>
          <w:lang w:val="pt-BR"/>
        </w:rPr>
        <w:t>. O uso doméstico é apenas o uso direto, ou seja, o uso no banheiro, cozinha, garagem, sendo que diversos produtos usados no cotidiano do ser humano tem origem no campo (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Hoekstra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and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Mekonnen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2012). </w:t>
      </w:r>
      <w:r>
        <w:rPr>
          <w:rFonts w:ascii="Arial" w:hAnsi="Arial"/>
          <w:sz w:val="24"/>
          <w:szCs w:val="24"/>
          <w:lang w:val="pt-BR"/>
        </w:rPr>
        <w:t xml:space="preserve"> 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Praticamente toda a água consumida pela humanidade pertence ao processo produtivo </w:t>
      </w:r>
      <w:proofErr w:type="spellStart"/>
      <w:r>
        <w:rPr>
          <w:rFonts w:ascii="Arial" w:hAnsi="Arial"/>
          <w:sz w:val="24"/>
          <w:szCs w:val="24"/>
          <w:lang w:val="pt-BR"/>
        </w:rPr>
        <w:t>agricultural</w:t>
      </w:r>
      <w:proofErr w:type="spellEnd"/>
      <w:r>
        <w:rPr>
          <w:rFonts w:ascii="Arial" w:hAnsi="Arial"/>
          <w:sz w:val="24"/>
          <w:szCs w:val="24"/>
          <w:lang w:val="pt-BR"/>
        </w:rPr>
        <w:t>, por isso, formas sustentáveis de utilização e reutilização devem ser desenvolvidas constantemente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água na agricultura só tende a crescer, estudos da </w:t>
      </w:r>
      <w:r w:rsidRPr="00A032DE">
        <w:rPr>
          <w:rFonts w:ascii="Arial" w:hAnsi="Arial"/>
          <w:sz w:val="24"/>
          <w:szCs w:val="24"/>
          <w:lang w:val="pt-BR"/>
        </w:rPr>
        <w:t>Organização das Nações Unidas para a Educação, a Ciência e a Cultura</w:t>
      </w:r>
      <w:r>
        <w:rPr>
          <w:rFonts w:ascii="Arial" w:hAnsi="Arial"/>
          <w:sz w:val="24"/>
          <w:szCs w:val="24"/>
          <w:lang w:val="pt-BR"/>
        </w:rPr>
        <w:t>(UNESCO) descrevem um aumento de 60% de produção e gastos com o uso da água e 100% em países desenvolvidos, assim aumentando ainda mais os gastos anuais da água no planeta terra.</w:t>
      </w:r>
    </w:p>
    <w:p w:rsidR="00C925FB" w:rsidRPr="005548B3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 papel do cidadão neste cenário é de extrema importância devido ao seu poder como consumidor</w:t>
      </w: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(sendo o principal causador da escassez da água no planeta terra). Partindo disto, nosso objetivo é de informar o cidadão médio da existência de formas sustentáveis de consumo da água por agricultores a fim de enriquecer a discussão em escolas e ambientes de trabalho.</w:t>
      </w: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  <w:bookmarkStart w:id="0" w:name="_GoBack"/>
      <w:bookmarkEnd w:id="0"/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8F03EA" w:rsidRDefault="00C925FB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lastRenderedPageBreak/>
        <w:t>Te</w:t>
      </w:r>
      <w:r w:rsidR="008F03EA">
        <w:rPr>
          <w:rFonts w:ascii="Arial" w:hAnsi="Arial"/>
          <w:sz w:val="24"/>
          <w:szCs w:val="24"/>
          <w:lang w:val="pt-BR"/>
        </w:rPr>
        <w:t>ma Escolhido</w:t>
      </w:r>
    </w:p>
    <w:p w:rsidR="00A05655" w:rsidRDefault="00A3279C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Um dos maiores desafios que a humanidade enfrenta é o gerenciamento eficiente e sustentável dos recursos hídricos. Cerca de 1.2 bilhões de pessoas sobrevivem em escassez de água e quase quatro bilhões no mundo vivem em condições de extrema escassez em alguns meses do ano. Sugere-se que até 2050 mais de cindo bilhões de pessoas viveram sob condições severas de escassez de recursos hídricos devido ao aumento na demanda hídrica doméstica, da pecuária e da produção de energia</w:t>
      </w:r>
      <w:sdt>
        <w:sdtPr>
          <w:rPr>
            <w:rFonts w:ascii="Arial" w:hAnsi="Arial"/>
            <w:sz w:val="24"/>
            <w:szCs w:val="24"/>
            <w:lang w:val="pt-BR"/>
          </w:rPr>
          <w:id w:val="-1368904134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CITATION Lat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Pr="00A3279C">
            <w:rPr>
              <w:rFonts w:ascii="Arial" w:hAnsi="Arial"/>
              <w:noProof/>
              <w:sz w:val="24"/>
              <w:szCs w:val="24"/>
              <w:lang w:val="pt-BR"/>
            </w:rPr>
            <w:t>(Lathuillière, 2018)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</w:t>
      </w:r>
    </w:p>
    <w:p w:rsidR="0077104C" w:rsidRDefault="0077104C" w:rsidP="0077104C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agricultura utiliza aproximadamente 70% e consome 80% da água no mundo, sendo que a irrigada representa 40% de toda a produção mundial. O desabastecimento desta produção pode acarretar diminuição da oferta e consequente aumento dos preços no mercado </w:t>
      </w:r>
      <w:sdt>
        <w:sdtPr>
          <w:rPr>
            <w:rFonts w:ascii="Arial" w:hAnsi="Arial"/>
            <w:sz w:val="24"/>
            <w:szCs w:val="24"/>
            <w:lang w:val="pt-BR"/>
          </w:rPr>
          <w:id w:val="70547383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CITATION Oli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A3279C" w:rsidRPr="00A3279C">
            <w:rPr>
              <w:rFonts w:ascii="Arial" w:hAnsi="Arial"/>
              <w:noProof/>
              <w:sz w:val="24"/>
              <w:szCs w:val="24"/>
              <w:lang w:val="pt-BR"/>
            </w:rPr>
            <w:t>(Oliveira, et al., 2015)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</w:t>
      </w:r>
    </w:p>
    <w:p w:rsidR="0077104C" w:rsidRDefault="0077104C" w:rsidP="0077104C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 Brasil possui cerca de 12% da água doce do planeta, sendo que a distribuição não é equilibrada com apenas 3% dos recursos hídricos disponíveis nas regiões próximas ao Oceano Atlântico que equivalem a mais de 45% da população brasileira</w:t>
      </w:r>
      <w:sdt>
        <w:sdtPr>
          <w:rPr>
            <w:rFonts w:ascii="Arial" w:hAnsi="Arial"/>
            <w:sz w:val="24"/>
            <w:szCs w:val="24"/>
            <w:lang w:val="pt-BR"/>
          </w:rPr>
          <w:id w:val="-1357962339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Agê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A3279C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A3279C" w:rsidRPr="00A3279C">
            <w:rPr>
              <w:rFonts w:ascii="Arial" w:hAnsi="Arial"/>
              <w:noProof/>
              <w:sz w:val="24"/>
              <w:szCs w:val="24"/>
              <w:lang w:val="pt-BR"/>
            </w:rPr>
            <w:t>(ANA, s.d.)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 A agricultura irrigada no Brasil é praticada utilizando os seguintes métodos: aspersão (convencional, canhão, carretel), pivô central e localizada (gotejamento, micro aspersão) e superfície (inundação e sulcos). O método pode variar dependendo de fatores como a topografia, tipo de solo, cultivo, clima</w:t>
      </w:r>
      <w:sdt>
        <w:sdtPr>
          <w:rPr>
            <w:rFonts w:ascii="Arial" w:hAnsi="Arial"/>
            <w:sz w:val="24"/>
            <w:szCs w:val="24"/>
            <w:lang w:val="pt-BR"/>
          </w:rPr>
          <w:id w:val="-1938829736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Oli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A3279C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A3279C" w:rsidRPr="00A3279C">
            <w:rPr>
              <w:rFonts w:ascii="Arial" w:hAnsi="Arial"/>
              <w:noProof/>
              <w:sz w:val="24"/>
              <w:szCs w:val="24"/>
              <w:lang w:val="pt-BR"/>
            </w:rPr>
            <w:t>(Oliveira, et al., 2015)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 xml:space="preserve">. </w:t>
      </w:r>
    </w:p>
    <w:p w:rsidR="005548B3" w:rsidRDefault="00BC1640" w:rsidP="001E1493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Um conceito importante quando se trata de consumo de água é a pegada hídrica. Este é um indicador do uso de água em relação a bens de consumo. A pegada hídrica de um produto é o volume de água doce usada em cada etapa do processo para produzir este produto.</w:t>
      </w:r>
      <w:r w:rsidR="00566BA6">
        <w:rPr>
          <w:rFonts w:ascii="Arial" w:hAnsi="Arial"/>
          <w:sz w:val="24"/>
          <w:szCs w:val="24"/>
          <w:lang w:val="pt-BR"/>
        </w:rPr>
        <w:t xml:space="preserve"> O uso da água é medido pelo volume de água consumida ou poluída. O consumo de água se refere à água evaporada ou incorporada em um produto. A pegada hídrica se relaciona não só ao volume de água e poluição, mas também às localizações. Pegada hídrica pode ser dividida em três componentes: a pegada cinza, azul e a verde. A pegada hídrica azul é a quantidade de água doce que evapora dos recursos globais de água azul, ou seja, a superfície e águas subterrâneas. A pegada hídrica cinza se refere ao volume de água poluída e é quantificada baseado no volume necessário para diluir os poluentes ao ponto de fazer com que a água esteja acima dos padrões de qualidade acordados. A pegada hídrica verde é o volume evaporado </w:t>
      </w:r>
      <w:r w:rsidR="001E1493">
        <w:rPr>
          <w:rFonts w:ascii="Arial" w:hAnsi="Arial"/>
          <w:sz w:val="24"/>
          <w:szCs w:val="24"/>
          <w:lang w:val="pt-BR"/>
        </w:rPr>
        <w:t>de águas pluviais no solo</w:t>
      </w:r>
      <w:sdt>
        <w:sdtPr>
          <w:rPr>
            <w:rFonts w:ascii="Arial" w:hAnsi="Arial"/>
            <w:sz w:val="24"/>
            <w:szCs w:val="24"/>
            <w:lang w:val="pt-BR"/>
          </w:rPr>
          <w:id w:val="-34670228"/>
          <w:citation/>
        </w:sdtPr>
        <w:sdtEndPr/>
        <w:sdtContent>
          <w:r w:rsidR="001E1493"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 w:rsidR="001E1493">
            <w:rPr>
              <w:rFonts w:ascii="Arial" w:hAnsi="Arial"/>
              <w:sz w:val="24"/>
              <w:szCs w:val="24"/>
              <w:lang w:val="pt-BR"/>
            </w:rPr>
            <w:instrText xml:space="preserve"> CITATION Hoe15 \l 1046 </w:instrText>
          </w:r>
          <w:r w:rsidR="001E1493"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A3279C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A3279C" w:rsidRPr="00A3279C">
            <w:rPr>
              <w:rFonts w:ascii="Arial" w:hAnsi="Arial"/>
              <w:noProof/>
              <w:sz w:val="24"/>
              <w:szCs w:val="24"/>
              <w:lang w:val="pt-BR"/>
            </w:rPr>
            <w:t>(Hoekstra, 2015)</w:t>
          </w:r>
          <w:r w:rsidR="001E1493"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="001E1493">
        <w:rPr>
          <w:rFonts w:ascii="Arial" w:hAnsi="Arial"/>
          <w:sz w:val="24"/>
          <w:szCs w:val="24"/>
          <w:lang w:val="pt-BR"/>
        </w:rPr>
        <w:t>.</w:t>
      </w: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201C5A" w:rsidRDefault="00201C5A">
      <w:pPr>
        <w:rPr>
          <w:rFonts w:ascii="Arial" w:hAnsi="Arial"/>
          <w:sz w:val="24"/>
          <w:szCs w:val="24"/>
          <w:lang w:val="pt-BR"/>
        </w:rPr>
      </w:pPr>
    </w:p>
    <w:p w:rsidR="00201C5A" w:rsidRDefault="00201C5A">
      <w:pPr>
        <w:rPr>
          <w:rFonts w:ascii="Arial" w:hAnsi="Arial"/>
          <w:sz w:val="24"/>
          <w:szCs w:val="24"/>
          <w:lang w:val="pt-BR"/>
        </w:rPr>
      </w:pPr>
    </w:p>
    <w:p w:rsidR="00201C5A" w:rsidRDefault="00201C5A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val="pt-BR"/>
        </w:rPr>
        <w:id w:val="9105941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5548B3" w:rsidRPr="005548B3" w:rsidRDefault="005548B3">
          <w:pPr>
            <w:pStyle w:val="Ttulo1"/>
            <w:rPr>
              <w:lang w:val="pt-BR"/>
            </w:rPr>
          </w:pPr>
          <w:r>
            <w:rPr>
              <w:lang w:val="pt-BR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A3279C" w:rsidRDefault="005548B3" w:rsidP="00A3279C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pt-BR"/>
                </w:rPr>
              </w:pPr>
              <w:r>
                <w:fldChar w:fldCharType="begin"/>
              </w:r>
              <w:r w:rsidRPr="005548B3">
                <w:rPr>
                  <w:lang w:val="pt-BR"/>
                </w:rPr>
                <w:instrText>BIBLIOGRAPHY</w:instrText>
              </w:r>
              <w:r>
                <w:fldChar w:fldCharType="separate"/>
              </w:r>
              <w:r w:rsidR="00A3279C">
                <w:rPr>
                  <w:noProof/>
                  <w:lang w:val="pt-BR"/>
                </w:rPr>
                <w:t xml:space="preserve">ANA. (s.d.). </w:t>
              </w:r>
              <w:r w:rsidR="00A3279C">
                <w:rPr>
                  <w:i/>
                  <w:iCs/>
                  <w:noProof/>
                  <w:lang w:val="pt-BR"/>
                </w:rPr>
                <w:t>Panorama das águas</w:t>
              </w:r>
              <w:r w:rsidR="00A3279C">
                <w:rPr>
                  <w:noProof/>
                  <w:lang w:val="pt-BR"/>
                </w:rPr>
                <w:t>. Fonte: Agência Nacional de Águas: http://www3.ana.gov.br/portal/ANA/panorama-das-aguas/quantidade-da-agua</w:t>
              </w:r>
            </w:p>
            <w:p w:rsidR="00A3279C" w:rsidRPr="00A3279C" w:rsidRDefault="00A3279C" w:rsidP="00A3279C">
              <w:pPr>
                <w:pStyle w:val="Bibliografia"/>
                <w:ind w:left="720" w:hanging="720"/>
                <w:rPr>
                  <w:noProof/>
                </w:rPr>
              </w:pPr>
              <w:r w:rsidRPr="00A3279C">
                <w:rPr>
                  <w:noProof/>
                </w:rPr>
                <w:t>Hoekstra, A. Y. (2015). The Water Footprint: The Relation Between Human Consumption and Water Use.</w:t>
              </w:r>
            </w:p>
            <w:p w:rsidR="00A3279C" w:rsidRPr="00A3279C" w:rsidRDefault="00A3279C" w:rsidP="00A3279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lang w:val="pt-BR"/>
                </w:rPr>
                <w:t xml:space="preserve">Lathuillière, M. J. (abril de 2018). </w:t>
              </w:r>
              <w:r w:rsidRPr="00A3279C">
                <w:rPr>
                  <w:noProof/>
                </w:rPr>
                <w:t>Harmonizing water footprint assessments for agricultural production in Southern Amazonia.</w:t>
              </w:r>
            </w:p>
            <w:p w:rsidR="00A3279C" w:rsidRDefault="00A3279C" w:rsidP="00A3279C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>
                <w:rPr>
                  <w:noProof/>
                  <w:lang w:val="pt-BR"/>
                </w:rPr>
                <w:t xml:space="preserve">Oliveira, A. C., Santos, M. V., Oliveira, R. H., Pereira, R. B., Cristo, R. T., Souza, R. A., . . . Araujo, G. L. (2015). A ÁGUA NA AGRICULTURA: UMA ANÁLISE DA REGIÃO DE SIMONÉSIA. </w:t>
              </w:r>
              <w:r>
                <w:rPr>
                  <w:i/>
                  <w:iCs/>
                  <w:noProof/>
                  <w:lang w:val="pt-BR"/>
                </w:rPr>
                <w:t>I Seminário Científico da FACIG – 29, 30 e 31 de Outubro de 2015</w:t>
              </w:r>
              <w:r>
                <w:rPr>
                  <w:noProof/>
                  <w:lang w:val="pt-BR"/>
                </w:rPr>
                <w:t>.</w:t>
              </w:r>
            </w:p>
            <w:p w:rsidR="00A3279C" w:rsidRDefault="00A3279C" w:rsidP="00A3279C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>
                <w:rPr>
                  <w:noProof/>
                  <w:lang w:val="pt-BR"/>
                </w:rPr>
                <w:t>Popkin, B., D’Anci, K. E., &amp; Rosenberg, I. H. (agosto de 2010). Water, Hydration and Health.</w:t>
              </w:r>
            </w:p>
            <w:p w:rsidR="005548B3" w:rsidRDefault="005548B3" w:rsidP="00A3279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sectPr w:rsidR="0029576C" w:rsidRPr="005548B3">
      <w:footerReference w:type="default" r:id="rId8"/>
      <w:pgSz w:w="11906" w:h="16838"/>
      <w:pgMar w:top="1440" w:right="1418" w:bottom="1992" w:left="1418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58D" w:rsidRDefault="00FF358D">
      <w:pPr>
        <w:spacing w:after="0" w:line="240" w:lineRule="auto"/>
      </w:pPr>
      <w:r>
        <w:separator/>
      </w:r>
    </w:p>
  </w:endnote>
  <w:endnote w:type="continuationSeparator" w:id="0">
    <w:p w:rsidR="00FF358D" w:rsidRDefault="00FF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76C" w:rsidRDefault="002957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58D" w:rsidRDefault="00FF358D">
      <w:pPr>
        <w:spacing w:after="0" w:line="240" w:lineRule="auto"/>
      </w:pPr>
      <w:r>
        <w:separator/>
      </w:r>
    </w:p>
  </w:footnote>
  <w:footnote w:type="continuationSeparator" w:id="0">
    <w:p w:rsidR="00FF358D" w:rsidRDefault="00FF3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7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6C"/>
    <w:rsid w:val="000C14E4"/>
    <w:rsid w:val="000E5BB6"/>
    <w:rsid w:val="00155DDE"/>
    <w:rsid w:val="001E1493"/>
    <w:rsid w:val="00201C5A"/>
    <w:rsid w:val="0029576C"/>
    <w:rsid w:val="003D555D"/>
    <w:rsid w:val="005548B3"/>
    <w:rsid w:val="00566BA6"/>
    <w:rsid w:val="005933A3"/>
    <w:rsid w:val="0059519C"/>
    <w:rsid w:val="005E1BBF"/>
    <w:rsid w:val="0077104C"/>
    <w:rsid w:val="008F03EA"/>
    <w:rsid w:val="00971D5E"/>
    <w:rsid w:val="00A05655"/>
    <w:rsid w:val="00A3279C"/>
    <w:rsid w:val="00AA5550"/>
    <w:rsid w:val="00AE64C9"/>
    <w:rsid w:val="00AE7260"/>
    <w:rsid w:val="00B93642"/>
    <w:rsid w:val="00BC1640"/>
    <w:rsid w:val="00C805B3"/>
    <w:rsid w:val="00C925FB"/>
    <w:rsid w:val="00DF0432"/>
    <w:rsid w:val="00F747D2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AA83"/>
  <w15:docId w15:val="{8B779C73-3620-488D-B8F4-F82D067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54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13DC9"/>
  </w:style>
  <w:style w:type="character" w:customStyle="1" w:styleId="RodapChar">
    <w:name w:val="Rodapé Char"/>
    <w:basedOn w:val="Fontepargpadro"/>
    <w:link w:val="Rodap"/>
    <w:uiPriority w:val="99"/>
    <w:qFormat/>
    <w:rsid w:val="00413DC9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54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5548B3"/>
  </w:style>
  <w:style w:type="paragraph" w:styleId="PargrafodaLista">
    <w:name w:val="List Paragraph"/>
    <w:basedOn w:val="Normal"/>
    <w:uiPriority w:val="34"/>
    <w:qFormat/>
    <w:rsid w:val="000E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Pop10</b:Tag>
    <b:SourceType>ArticleInAPeriodical</b:SourceType>
    <b:Guid>{066D8744-64AD-4F12-B38E-BBF2316DA10D}</b:Guid>
    <b:Title>Water, Hydration and Health</b:Title>
    <b:Year>2010</b:Year>
    <b:Author>
      <b:Author>
        <b:NameList>
          <b:Person>
            <b:Last>Popkin</b:Last>
            <b:First>Barry</b:First>
          </b:Person>
          <b:Person>
            <b:Last>D’Anci</b:Last>
            <b:First>Kristen</b:First>
            <b:Middle>E.</b:Middle>
          </b:Person>
          <b:Person>
            <b:Last>Rosenberg</b:Last>
            <b:First>Irwin</b:First>
            <b:Middle>H.</b:Middle>
          </b:Person>
        </b:NameList>
      </b:Author>
    </b:Author>
    <b:Month>agosto</b:Month>
    <b:RefOrder>1</b:RefOrder>
  </b:Source>
  <b:Source>
    <b:Tag>Hoe15</b:Tag>
    <b:SourceType>ArticleInAPeriodical</b:SourceType>
    <b:Guid>{54AA6780-DF7F-408A-B41B-221AC56409F8}</b:Guid>
    <b:Author>
      <b:Author>
        <b:NameList>
          <b:Person>
            <b:Last>Hoekstra</b:Last>
            <b:First>Arjen</b:First>
            <b:Middle>Y.</b:Middle>
          </b:Person>
        </b:NameList>
      </b:Author>
    </b:Author>
    <b:Title>The Water Footprint: The Relation Between Human Consumption and Water Use</b:Title>
    <b:Year>2015</b:Year>
    <b:RefOrder>5</b:RefOrder>
  </b:Source>
  <b:Source>
    <b:Tag>Oli</b:Tag>
    <b:SourceType>ArticleInAPeriodical</b:SourceType>
    <b:Guid>{042F85B8-0F7D-4966-AC12-6408B2D11FEF}</b:Guid>
    <b:Author>
      <b:Author>
        <b:NameList>
          <b:Person>
            <b:Last>Oliveira</b:Last>
            <b:First>André</b:First>
            <b:Middle>C.</b:Middle>
          </b:Person>
          <b:Person>
            <b:Last>Santos</b:Last>
            <b:First>Maxwell</b:First>
            <b:Middle>Vitor Dos</b:Middle>
          </b:Person>
          <b:Person>
            <b:Last>Oliveira</b:Last>
            <b:First>Rafaela</b:First>
            <b:Middle>Hott De</b:Middle>
          </b:Person>
          <b:Person>
            <b:Last>Pereira</b:Last>
            <b:First>Rodrigo</b:First>
            <b:Middle>Baia</b:Middle>
          </b:Person>
          <b:Person>
            <b:Last>Cristo</b:Last>
            <b:First>Rosinele</b:First>
            <b:Middle>Terra De</b:Middle>
          </b:Person>
          <b:Person>
            <b:Last>Souza</b:Last>
            <b:First>Reginaldo</b:First>
            <b:Middle>Adriano de</b:Middle>
          </b:Person>
          <b:Person>
            <b:Last>Longo</b:Last>
            <b:First>Lilian</b:First>
            <b:Middle>Beatriz Ferreira</b:Middle>
          </b:Person>
          <b:Person>
            <b:Last>Araujo</b:Last>
            <b:First>Gláucio</b:First>
            <b:Middle>Luciano</b:Middle>
          </b:Person>
        </b:NameList>
      </b:Author>
    </b:Author>
    <b:Title>A ÁGUA NA AGRICULTURA: UMA ANÁLISE DA REGIÃO DE SIMONÉSIA</b:Title>
    <b:PeriodicalTitle>I Seminário Científico da FACIG – 29, 30 e 31 de Outubro de 2015</b:PeriodicalTitle>
    <b:Year>2015</b:Year>
    <b:RefOrder>3</b:RefOrder>
  </b:Source>
  <b:Source>
    <b:Tag>Agê</b:Tag>
    <b:SourceType>InternetSite</b:SourceType>
    <b:Guid>{9335BDDD-0DC0-4CB9-A483-84E6806065D9}</b:Guid>
    <b:Title>Panorama das águas</b:Title>
    <b:URL>http://www3.ana.gov.br/portal/ANA/panorama-das-aguas/quantidade-da-agua</b:URL>
    <b:Author>
      <b:Author>
        <b:Corporate>ANA</b:Corporate>
      </b:Author>
    </b:Author>
    <b:InternetSiteTitle>Agência Nacional de Águas</b:InternetSiteTitle>
    <b:RefOrder>4</b:RefOrder>
  </b:Source>
  <b:Source>
    <b:Tag>Lat</b:Tag>
    <b:SourceType>ArticleInAPeriodical</b:SourceType>
    <b:Guid>{22F20427-A174-4E06-A6A5-59AFD4379B74}</b:Guid>
    <b:Title>Harmonizing water footprint assessments for agricultural production in Southern Amazonia</b:Title>
    <b:Author>
      <b:Author>
        <b:NameList>
          <b:Person>
            <b:Last>Lathuillière</b:Last>
            <b:First>Michael</b:First>
            <b:Middle>J.</b:Middle>
          </b:Person>
        </b:NameList>
      </b:Author>
    </b:Author>
    <b:Year>2018</b:Year>
    <b:Month>abril</b:Month>
    <b:RefOrder>2</b:RefOrder>
  </b:Source>
</b:Sources>
</file>

<file path=customXml/itemProps1.xml><?xml version="1.0" encoding="utf-8"?>
<ds:datastoreItem xmlns:ds="http://schemas.openxmlformats.org/officeDocument/2006/customXml" ds:itemID="{55497F05-3210-43F5-AC2E-8C89BCC4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Luiz Freitas Almeida</dc:creator>
  <dc:description/>
  <cp:lastModifiedBy>Gabriel Luiz Freitas Almeida</cp:lastModifiedBy>
  <cp:revision>13</cp:revision>
  <dcterms:created xsi:type="dcterms:W3CDTF">2018-05-05T21:40:00Z</dcterms:created>
  <dcterms:modified xsi:type="dcterms:W3CDTF">2018-05-15T21:31:00Z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