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mc:Ignorable="w14">
  <w:body>
    <w:p>
      <w:pPr>
        <w:pStyle w:val="Normal"/>
        <w:jc w:val="center"/>
        <w:spacing w:before="0" w:after="60"/>
        <w:rPr/>
      </w:pPr>
      <w:r>
        <w:rPr>
          <w:sz w:val="20"/>
          <w:szCs w:val="20"/>
          <w:b/>
          <w:bCs/>
          <w:color w:val="546E7A"/>
        </w:rPr>
        <w:t xml:space="preserve">BioForge Stage 2 Design Study</w:t>
      </w:r>
    </w:p>
    <w:p>
      <w:pPr>
        <w:pStyle w:val="Normal"/>
        <w:jc w:val="center"/>
        <w:spacing w:before="0" w:after="40"/>
        <w:rPr/>
      </w:pPr>
      <w:r>
        <w:rPr>
          <w:sz w:val="36"/>
          <w:szCs w:val="36"/>
          <w:b/>
          <w:bCs/>
          <w:color w:val="0D3B76"/>
        </w:rPr>
        <w:t xml:space="preserve">Hollow-Fiber Membrane Contactor Scale-Up Design</w:t>
      </w:r>
    </w:p>
    <w:p>
      <w:pPr>
        <w:pStyle w:val="Normal"/>
        <w:jc w:val="center"/>
        <w:spacing w:before="0" w:after="100"/>
        <w:rPr/>
      </w:pPr>
      <w:r>
        <w:rPr>
          <w:sz w:val="32"/>
          <w:szCs w:val="32"/>
          <w:b/>
          <w:bCs/>
          <w:color w:val="0D3B76"/>
        </w:rPr>
        <w:t xml:space="preserve">for Citric Acid Recovery from Agricultural Waste Fermentation Broth</w:t>
      </w:r>
    </w:p>
    <w:p>
      <w:pPr>
        <w:pStyle w:val="Normal"/>
        <w:jc w:val="center"/>
        <w:spacing w:before="0" w:after="200"/>
        <w:rPr/>
      </w:pPr>
      <w:r>
        <w:rPr>
          <w:sz w:val="26"/>
          <w:szCs w:val="26"/>
          <w:i/>
          <w:iCs/>
          <w:color w:val="546E7A"/>
        </w:rPr>
        <w:t xml:space="preserve">Feasibility Study and Module Sizing Based on the Yang-Cussler Model</w:t>
      </w:r>
    </w:p>
    <w:tbl>
      <w:tblPr>
        <w:tblBorders>
          <w:top w:val="single" w:sz="4" w:color="B0BEC5"/>
          <w:left w:val="single" w:sz="4" w:color="B0BEC5"/>
          <w:bottom w:val="single" w:sz="4" w:color="B0BEC5"/>
          <w:right w:val="single" w:sz="4" w:color="B0BEC5"/>
          <w:insideH w:val="single" w:sz="4" w:color="E0E0E0"/>
          <w:insideV w:val="single" w:sz="4" w:color="E0E0E0"/>
        </w:tblBorders>
        <w:tblW w:w="9360" w:type="dxa"/>
      </w:tblPr>
      <w:tblGrid>
        <w:gridCol w:w="2592"/>
        <w:gridCol w:w="6768"/>
      </w:tblGrid>
      <w:tr>
        <w:trPr>
          <w:tblHeader/>
        </w:trPr>
        <w:tc>
          <w:tcPr>
            <w:tcW w:w="2592" w:type="dxa"/>
            <w:shd w:val="clear" w:color="auto" w:fill="1A4D8F"/>
            <w:vAlign w:val="top"/>
          </w:tcPr>
          <w:p>
            <w:pPr>
              <w:pStyle w:val="Normal"/>
              <w:spacing w:before="0" w:after="100"/>
              <w:shd w:val="clear" w:color="auto" w:fill="1A4D8F"/>
              <w:rPr/>
            </w:pPr>
            <w:r>
              <w:rPr>
                <w:sz w:val="20"/>
                <w:szCs w:val="20"/>
                <w:b/>
                <w:bCs/>
                <w:color w:val="FFFFFF"/>
              </w:rPr>
              <w:t xml:space="preserve">Field</w:t>
            </w:r>
          </w:p>
        </w:tc>
        <w:tc>
          <w:tcPr>
            <w:tcW w:w="6768" w:type="dxa"/>
            <w:shd w:val="clear" w:color="auto" w:fill="1A4D8F"/>
            <w:vAlign w:val="top"/>
          </w:tcPr>
          <w:p>
            <w:pPr>
              <w:pStyle w:val="Normal"/>
              <w:spacing w:before="0" w:after="100"/>
              <w:shd w:val="clear" w:color="auto" w:fill="1A4D8F"/>
              <w:rPr/>
            </w:pPr>
            <w:r>
              <w:rPr>
                <w:sz w:val="20"/>
                <w:szCs w:val="20"/>
                <w:b/>
                <w:bCs/>
                <w:color w:val="FFFFFF"/>
              </w:rPr>
              <w:t xml:space="preserve">Details</w:t>
            </w:r>
          </w:p>
        </w:tc>
      </w:tr>
      <w:tr>
        <w:tc>
          <w:tcPr>
            <w:tcW w:w="2592" w:type="dxa"/>
            <w:vAlign w:val="top"/>
          </w:tcPr>
          <w:p>
            <w:pPr>
              <w:pStyle w:val="Normal"/>
              <w:spacing w:before="0" w:after="100"/>
              <w:rPr/>
            </w:pPr>
            <w:r>
              <w:rPr>
                <w:sz w:val="19.0"/>
                <w:szCs w:val="19.0"/>
              </w:rPr>
              <w:t xml:space="preserve">Author</w:t>
            </w:r>
          </w:p>
        </w:tc>
        <w:tc>
          <w:tcPr>
            <w:tcW w:w="6768" w:type="dxa"/>
            <w:vAlign w:val="top"/>
          </w:tcPr>
          <w:p>
            <w:pPr>
              <w:pStyle w:val="Normal"/>
              <w:spacing w:before="0" w:after="100"/>
              <w:rPr/>
            </w:pPr>
            <w:r>
              <w:rPr>
                <w:sz w:val="19.0"/>
                <w:szCs w:val="19.0"/>
              </w:rPr>
              <w:t xml:space="preserve">Ogaga Maxwell Okedi, M.S. Chemical Engineering, Florida A&amp;M University</w:t>
            </w:r>
          </w:p>
        </w:tc>
      </w:tr>
      <w:tr>
        <w:tc>
          <w:tcPr>
            <w:tcW w:w="2592" w:type="dxa"/>
            <w:vAlign w:val="top"/>
          </w:tcPr>
          <w:p>
            <w:pPr>
              <w:pStyle w:val="Normal"/>
              <w:spacing w:before="0" w:after="100"/>
              <w:shd w:val="clear" w:color="auto" w:fill="F7F9FF"/>
              <w:rPr/>
            </w:pPr>
            <w:r>
              <w:rPr>
                <w:sz w:val="19.0"/>
                <w:szCs w:val="19.0"/>
              </w:rPr>
              <w:t xml:space="preserve">Date</w:t>
            </w:r>
          </w:p>
        </w:tc>
        <w:tc>
          <w:tcPr>
            <w:tcW w:w="6768" w:type="dxa"/>
            <w:vAlign w:val="top"/>
          </w:tcPr>
          <w:p>
            <w:pPr>
              <w:pStyle w:val="Normal"/>
              <w:spacing w:before="0" w:after="100"/>
              <w:shd w:val="clear" w:color="auto" w:fill="F7F9FF"/>
              <w:rPr/>
            </w:pPr>
            <w:r>
              <w:rPr>
                <w:sz w:val="19.0"/>
                <w:szCs w:val="19.0"/>
              </w:rPr>
              <w:t xml:space="preserve">March 2026</w:t>
            </w:r>
          </w:p>
        </w:tc>
      </w:tr>
      <w:tr>
        <w:tc>
          <w:tcPr>
            <w:tcW w:w="2592" w:type="dxa"/>
            <w:vAlign w:val="top"/>
          </w:tcPr>
          <w:p>
            <w:pPr>
              <w:pStyle w:val="Normal"/>
              <w:spacing w:before="0" w:after="100"/>
              <w:rPr/>
            </w:pPr>
            <w:r>
              <w:rPr>
                <w:sz w:val="19.0"/>
                <w:szCs w:val="19.0"/>
              </w:rPr>
              <w:t xml:space="preserve">Classification</w:t>
            </w:r>
          </w:p>
        </w:tc>
        <w:tc>
          <w:tcPr>
            <w:tcW w:w="6768" w:type="dxa"/>
            <w:vAlign w:val="top"/>
          </w:tcPr>
          <w:p>
            <w:pPr>
              <w:pStyle w:val="Normal"/>
              <w:spacing w:before="0" w:after="100"/>
              <w:rPr/>
            </w:pPr>
            <w:r>
              <w:rPr>
                <w:sz w:val="19.0"/>
                <w:szCs w:val="19.0"/>
              </w:rPr>
              <w:t xml:space="preserve">Supporting Technical Document, EB-2 NIW Petition (Prong II, Section 3.4)</w:t>
            </w:r>
          </w:p>
        </w:tc>
      </w:tr>
      <w:tr>
        <w:tc>
          <w:tcPr>
            <w:tcW w:w="2592" w:type="dxa"/>
            <w:vAlign w:val="top"/>
          </w:tcPr>
          <w:p>
            <w:pPr>
              <w:pStyle w:val="Normal"/>
              <w:spacing w:before="0" w:after="100"/>
              <w:shd w:val="clear" w:color="auto" w:fill="F7F9FF"/>
              <w:rPr/>
            </w:pPr>
            <w:r>
              <w:rPr>
                <w:sz w:val="19.0"/>
                <w:szCs w:val="19.0"/>
              </w:rPr>
              <w:t xml:space="preserve">Project</w:t>
            </w:r>
          </w:p>
        </w:tc>
        <w:tc>
          <w:tcPr>
            <w:tcW w:w="6768" w:type="dxa"/>
            <w:vAlign w:val="top"/>
          </w:tcPr>
          <w:p>
            <w:pPr>
              <w:pStyle w:val="Normal"/>
              <w:spacing w:before="0" w:after="100"/>
              <w:shd w:val="clear" w:color="auto" w:fill="F7F9FF"/>
              <w:rPr/>
            </w:pPr>
            <w:r>
              <w:rPr>
                <w:sz w:val="19.0"/>
                <w:szCs w:val="19.0"/>
              </w:rPr>
              <w:t xml:space="preserve">BioForge -- Integrated DOE + ML Waste-to-Value Optimization Platform (v0.1)</w:t>
            </w:r>
          </w:p>
        </w:tc>
      </w:tr>
      <w:tr>
        <w:tc>
          <w:tcPr>
            <w:tcW w:w="2592" w:type="dxa"/>
            <w:vAlign w:val="top"/>
          </w:tcPr>
          <w:p>
            <w:pPr>
              <w:pStyle w:val="Normal"/>
              <w:spacing w:before="0" w:after="100"/>
              <w:rPr/>
            </w:pPr>
            <w:r>
              <w:rPr>
                <w:sz w:val="19.0"/>
                <w:szCs w:val="19.0"/>
              </w:rPr>
              <w:t xml:space="preserve">Repository</w:t>
            </w:r>
          </w:p>
        </w:tc>
        <w:tc>
          <w:tcPr>
            <w:tcW w:w="6768" w:type="dxa"/>
            <w:vAlign w:val="top"/>
          </w:tcPr>
          <w:p>
            <w:pPr>
              <w:pStyle w:val="Normal"/>
              <w:spacing w:before="0" w:after="100"/>
              <w:rPr/>
            </w:pPr>
            <w:r>
              <w:rPr>
                <w:sz w:val="19.0"/>
                <w:szCs w:val="19.0"/>
              </w:rPr>
              <w:t xml:space="preserve">https://github.com/ogaga-ai/BioForge</w:t>
            </w:r>
          </w:p>
        </w:tc>
      </w:tr>
    </w:tbl>
    <w:p>
      <w:pPr>
        <w:pStyle w:val="Normal"/>
        <w:spacing w:before="0" w:after="0"/>
        <w:rPr/>
      </w:pPr>
    </w:p>
    <w:tbl>
      <w:tblPr>
        <w:tblBorders>
          <w:left w:val="single" w:sz="20" w:color="1A4D8F"/>
          <w:top w:val="none"/>
          <w:bottom w:val="none"/>
          <w:right w:val="none"/>
          <w:insideH w:val="none"/>
          <w:insideV w:val="none"/>
        </w:tblBorders>
        <w:tblW w:w="9360" w:type="dxa"/>
      </w:tblPr>
      <w:tblGrid>
        <w:gridCol w:w="9360"/>
      </w:tblGrid>
      <w:tr>
        <w:tc>
          <w:tcPr>
            <w:tcW w:w="9360" w:type="dxa"/>
            <w:shd w:val="clear" w:color="auto" w:fill="E8F4FD"/>
            <w:vAlign w:val="top"/>
          </w:tcPr>
          <w:p>
            <w:pPr>
              <w:pStyle w:val="Normal"/>
              <w:spacing w:before="0" w:after="40"/>
              <w:shd w:val="clear" w:color="auto" w:fill="E8F4FD"/>
              <w:rPr/>
            </w:pPr>
            <w:r>
              <w:rPr>
                <w:sz w:val="21.0"/>
                <w:szCs w:val="21.0"/>
                <w:b/>
                <w:bCs/>
                <w:color w:val="1A4D8F"/>
              </w:rPr>
              <w:t xml:space="preserve">Abstract</w:t>
            </w:r>
          </w:p>
          <w:p>
            <w:pPr>
              <w:pStyle w:val="Normal"/>
              <w:spacing w:before="0" w:after="60"/>
              <w:shd w:val="clear" w:color="auto" w:fill="E8F4FD"/>
              <w:rPr/>
            </w:pPr>
            <w:r>
              <w:rPr>
                <w:sz w:val="20"/>
                <w:szCs w:val="20"/>
              </w:rPr>
              <w:t xml:space="preserve">This report presents a scale-up feasibility study for a hollow-fiber membrane contactor (HFC) module designed to recover citric acid from yam peel agricultural waste fermentation broth, building on the foundational design equations of Yang and Cussler (1986). My qualifying examination analysis established the theoretical basis for the Sieder-Tate Sherwood-number correlation and the three-resistance mass transfer framework. This report extends that foundation by applying it to citric acid recovery at a BioForge-predicted yield of 43.08 g/L (Okedi et al., 2024). Pilot-scale calculations yield K_L = 1.1324e-03 cm/s, with 5 modules in series achieving 95.4% recovery -- exceeding the 95% design target and outperforming the conventional extraction baseline of 85%. Industrial scale-up to 1,000 L requires 50 modules (37.7 m2 total area). This study positions the HFC module as the Stage 2 separation layer within BioForge.</w:t>
            </w:r>
          </w:p>
        </w:tc>
      </w:tr>
    </w:tbl>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1.  Introduction</w:t>
      </w:r>
    </w:p>
    <w:p>
      <w:pPr>
        <w:pStyle w:val="Normal"/>
        <w:spacing w:before="0" w:after="100"/>
        <w:rPr/>
      </w:pPr>
      <w:r>
        <w:rPr>
          <w:sz w:val="22"/>
          <w:szCs w:val="22"/>
        </w:rPr>
        <w:t xml:space="preserve">Industrial separation processes account for 40% to 70% of total plant operating costs in U.S. chemical and biochemical manufacturing. As the United States transitions toward bio-based manufacturing of organic acids from agricultural waste, the efficiency of the downstream separation step becomes a critical bottleneck determining commercial viability.</w:t>
      </w:r>
    </w:p>
    <w:p>
      <w:pPr>
        <w:pStyle w:val="Normal"/>
        <w:spacing w:before="0" w:after="100"/>
        <w:rPr/>
      </w:pPr>
      <w:r>
        <w:rPr>
          <w:sz w:val="22"/>
          <w:szCs w:val="22"/>
        </w:rPr>
        <w:t xml:space="preserve">Conventional liquid-liquid extraction systems for organic acid recovery from fermentation broth face well-documented limitations: flooding and channeling in packed columns, solvent emulsification contaminating the product stream, high energy costs associated with solvent recovery, and large equipment footprints. These limitations are especially pronounced in small-to-medium agricultural waste biorefineries, where compact and modular separation equipment is essential.</w:t>
      </w:r>
    </w:p>
    <w:p>
      <w:pPr>
        <w:pStyle w:val="Normal"/>
        <w:spacing w:before="0" w:after="100"/>
        <w:rPr/>
      </w:pPr>
      <w:r>
        <w:rPr>
          <w:sz w:val="22"/>
          <w:szCs w:val="22"/>
        </w:rPr>
        <w:t xml:space="preserve">Hollow-fiber membrane contactors (HFCs) offer a compelling alternative. Formalized by Yang and Cussler (1986) for gas-liquid and liquid-liquid extraction, HFCs enable mass transfer between immiscible phases without dispersing one phase within the other -- eliminating flooding, emulsification, and channeling while offering specific surface areas of 500 to 5,000 m2/m3, far exceeding the 100 to 200 m2/m3 typical of packed columns.</w:t>
      </w:r>
    </w:p>
    <w:p>
      <w:pPr>
        <w:pStyle w:val="Normal"/>
        <w:spacing w:before="0" w:after="100"/>
        <w:rPr/>
      </w:pPr>
      <w:r>
        <w:rPr>
          <w:sz w:val="22"/>
          <w:szCs w:val="22"/>
        </w:rPr>
        <w:t xml:space="preserve">This report addresses a specific engineering design question central to the BioForge Stage 2 development roadmap: what hollow-fiber module configuration is required to recover citric acid from fermentation broth produced when BioForge-optimized conditions are applied to yam peel agricultural waste? My qualifying examination (October 2024) established the theoretical foundation for this work by analyzing the Yang-Cussler model in detail. This report converts that theoretical foundation into a concrete engineering design: module specifications, interfacial area calculations, and a multi-module recovery configuration that can be directly implemented as the BioForge Stage 2 separation module.</w:t>
      </w:r>
    </w:p>
    <w:tbl>
      <w:tblPr>
        <w:tblBorders>
          <w:left w:val="single" w:sz="20" w:color="2E7D32"/>
          <w:top w:val="none"/>
          <w:bottom w:val="none"/>
          <w:right w:val="none"/>
          <w:insideH w:val="none"/>
          <w:insideV w:val="none"/>
        </w:tblBorders>
        <w:tblW w:w="9360" w:type="dxa"/>
      </w:tblPr>
      <w:tblGrid>
        <w:gridCol w:w="9360"/>
      </w:tblGrid>
      <w:tr>
        <w:tc>
          <w:tcPr>
            <w:tcW w:w="9360" w:type="dxa"/>
            <w:shd w:val="clear" w:color="auto" w:fill="E8F5E9"/>
            <w:vAlign w:val="top"/>
          </w:tcPr>
          <w:p>
            <w:pPr>
              <w:pStyle w:val="Normal"/>
              <w:spacing w:before="0" w:after="40"/>
              <w:shd w:val="clear" w:color="auto" w:fill="E8F5E9"/>
              <w:rPr/>
            </w:pPr>
            <w:r>
              <w:rPr>
                <w:sz w:val="21.0"/>
                <w:szCs w:val="21.0"/>
                <w:b/>
                <w:bCs/>
                <w:color w:val="2E7D32"/>
              </w:rPr>
              <w:t xml:space="preserve">Connection to BioForge Platform</w:t>
            </w:r>
          </w:p>
          <w:p>
            <w:pPr>
              <w:pStyle w:val="Normal"/>
              <w:spacing w:before="0" w:after="60"/>
              <w:shd w:val="clear" w:color="auto" w:fill="E8F5E9"/>
              <w:rPr/>
            </w:pPr>
            <w:r>
              <w:rPr>
                <w:sz w:val="20"/>
                <w:szCs w:val="20"/>
              </w:rPr>
              <w:t xml:space="preserve">BioForge Stage 1 uses Design of Experiments (DOE) and machine learning to identify optimal fermentation conditions that maximize citric acid yield from agricultural waste. Stage 2 receives those conditions as inputs and sizes the downstream separation module required to extract the product at commercially relevant purity and recovery. This report designs that Stage 2 module.</w:t>
            </w:r>
          </w:p>
        </w:tc>
      </w:tr>
    </w:tbl>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2.  Process Description: BioForge Citric Acid Production</w:t>
      </w:r>
    </w:p>
    <w:p>
      <w:pPr>
        <w:pStyle w:val="Normal"/>
        <w:spacing w:before="200" w:after="80"/>
        <w:rPr/>
      </w:pPr>
      <w:r>
        <w:rPr>
          <w:sz w:val="24"/>
          <w:szCs w:val="24"/>
          <w:b/>
          <w:bCs/>
          <w:color w:val="1A4D8F"/>
        </w:rPr>
        <w:t xml:space="preserve">2.1  Published Process Context</w:t>
      </w:r>
    </w:p>
    <w:p>
      <w:pPr>
        <w:pStyle w:val="Normal"/>
        <w:spacing w:before="0" w:after="100"/>
        <w:rPr/>
      </w:pPr>
      <w:r>
        <w:rPr>
          <w:sz w:val="22"/>
          <w:szCs w:val="22"/>
        </w:rPr>
        <w:t xml:space="preserve">The process described in this report is based on my peer-reviewed research published in Industrial Crops and Products (IF 6.2) in 2024 (Okedi et al., 2024). In that study, a Box-Behnken experimental design identified optimal concentrations of three process stimulants (EDTA, coconut oil, and sodium fluoride) for citric acid production by Aspergillus niger under solid-state fermentation on yam peel substrate (Dioscorea spp.). The published experimental results, validated by an ANFIS model, yielded a maximum citric acid concentration of 43.08 g/L -- a 49.1% improvement over the unstimulated baseline yield of 28.90 g/L. BioForge Stage 1 reproduces this result computationally, achieving R2 = 0.99883 on the same 17-run dataset.</w:t>
      </w:r>
    </w:p>
    <w:p>
      <w:pPr>
        <w:pStyle w:val="Normal"/>
        <w:spacing w:before="200" w:after="80"/>
        <w:rPr/>
      </w:pPr>
      <w:r>
        <w:rPr>
          <w:sz w:val="24"/>
          <w:szCs w:val="24"/>
          <w:b/>
          <w:bCs/>
          <w:color w:val="1A4D8F"/>
        </w:rPr>
        <w:t xml:space="preserve">2.2  Process Specifications</w:t>
      </w:r>
    </w:p>
    <w:tbl>
      <w:tblPr>
        <w:tblBorders>
          <w:top w:val="single" w:sz="4" w:color="B0BEC5"/>
          <w:left w:val="single" w:sz="4" w:color="B0BEC5"/>
          <w:bottom w:val="single" w:sz="4" w:color="B0BEC5"/>
          <w:right w:val="single" w:sz="4" w:color="B0BEC5"/>
          <w:insideH w:val="single" w:sz="4" w:color="E0E0E0"/>
          <w:insideV w:val="single" w:sz="4" w:color="E0E0E0"/>
        </w:tblBorders>
        <w:tblW w:w="9360" w:type="dxa"/>
      </w:tblPr>
      <w:tblGrid>
        <w:gridCol w:w="3600"/>
        <w:gridCol w:w="3600"/>
        <w:gridCol w:w="2160"/>
      </w:tblGrid>
      <w:tr>
        <w:trPr>
          <w:tblHeader/>
        </w:trPr>
        <w:tc>
          <w:tcPr>
            <w:tcW w:w="3600" w:type="dxa"/>
            <w:shd w:val="clear" w:color="auto" w:fill="1A4D8F"/>
            <w:vAlign w:val="top"/>
          </w:tcPr>
          <w:p>
            <w:pPr>
              <w:pStyle w:val="Normal"/>
              <w:spacing w:before="0" w:after="100"/>
              <w:shd w:val="clear" w:color="auto" w:fill="1A4D8F"/>
              <w:rPr/>
            </w:pPr>
            <w:r>
              <w:rPr>
                <w:sz w:val="20"/>
                <w:szCs w:val="20"/>
                <w:b/>
                <w:bCs/>
                <w:color w:val="FFFFFF"/>
              </w:rPr>
              <w:t xml:space="preserve">Parameter</w:t>
            </w:r>
          </w:p>
        </w:tc>
        <w:tc>
          <w:tcPr>
            <w:tcW w:w="3600" w:type="dxa"/>
            <w:shd w:val="clear" w:color="auto" w:fill="1A4D8F"/>
            <w:vAlign w:val="top"/>
          </w:tcPr>
          <w:p>
            <w:pPr>
              <w:pStyle w:val="Normal"/>
              <w:spacing w:before="0" w:after="100"/>
              <w:shd w:val="clear" w:color="auto" w:fill="1A4D8F"/>
              <w:rPr/>
            </w:pPr>
            <w:r>
              <w:rPr>
                <w:sz w:val="20"/>
                <w:szCs w:val="20"/>
                <w:b/>
                <w:bCs/>
                <w:color w:val="FFFFFF"/>
              </w:rPr>
              <w:t xml:space="preserve">Value</w:t>
            </w:r>
          </w:p>
        </w:tc>
        <w:tc>
          <w:tcPr>
            <w:tcW w:w="2160" w:type="dxa"/>
            <w:shd w:val="clear" w:color="auto" w:fill="1A4D8F"/>
            <w:vAlign w:val="top"/>
          </w:tcPr>
          <w:p>
            <w:pPr>
              <w:pStyle w:val="Normal"/>
              <w:spacing w:before="0" w:after="100"/>
              <w:shd w:val="clear" w:color="auto" w:fill="1A4D8F"/>
              <w:rPr/>
            </w:pPr>
            <w:r>
              <w:rPr>
                <w:sz w:val="20"/>
                <w:szCs w:val="20"/>
                <w:b/>
                <w:bCs/>
                <w:color w:val="FFFFFF"/>
              </w:rPr>
              <w:t xml:space="preserve">Source</w:t>
            </w:r>
          </w:p>
        </w:tc>
      </w:tr>
      <w:tr>
        <w:tc>
          <w:tcPr>
            <w:tcW w:w="3600" w:type="dxa"/>
            <w:vAlign w:val="top"/>
          </w:tcPr>
          <w:p>
            <w:pPr>
              <w:pStyle w:val="Normal"/>
              <w:spacing w:before="0" w:after="100"/>
              <w:rPr/>
            </w:pPr>
            <w:r>
              <w:rPr>
                <w:sz w:val="19.0"/>
                <w:szCs w:val="19.0"/>
              </w:rPr>
              <w:t xml:space="preserve">Substrate</w:t>
            </w:r>
          </w:p>
        </w:tc>
        <w:tc>
          <w:tcPr>
            <w:tcW w:w="3600" w:type="dxa"/>
            <w:vAlign w:val="top"/>
          </w:tcPr>
          <w:p>
            <w:pPr>
              <w:pStyle w:val="Normal"/>
              <w:spacing w:before="0" w:after="100"/>
              <w:rPr/>
            </w:pPr>
            <w:r>
              <w:rPr>
                <w:sz w:val="19.0"/>
                <w:szCs w:val="19.0"/>
              </w:rPr>
              <w:t xml:space="preserve">Yam peel waste (Dioscorea spp.)</w:t>
            </w:r>
          </w:p>
        </w:tc>
        <w:tc>
          <w:tcPr>
            <w:tcW w:w="2160" w:type="dxa"/>
            <w:vAlign w:val="top"/>
          </w:tcPr>
          <w:p>
            <w:pPr>
              <w:pStyle w:val="Normal"/>
              <w:spacing w:before="0" w:after="100"/>
              <w:rPr/>
            </w:pPr>
            <w:r>
              <w:rPr>
                <w:sz w:val="19.0"/>
                <w:szCs w:val="19.0"/>
              </w:rPr>
              <w:t xml:space="preserve">Okedi et al. (2024)</w:t>
            </w:r>
          </w:p>
        </w:tc>
      </w:tr>
      <w:tr>
        <w:tc>
          <w:tcPr>
            <w:tcW w:w="3600" w:type="dxa"/>
            <w:vAlign w:val="top"/>
          </w:tcPr>
          <w:p>
            <w:pPr>
              <w:pStyle w:val="Normal"/>
              <w:spacing w:before="0" w:after="100"/>
              <w:shd w:val="clear" w:color="auto" w:fill="F7F9FF"/>
              <w:rPr/>
            </w:pPr>
            <w:r>
              <w:rPr>
                <w:sz w:val="19.0"/>
                <w:szCs w:val="19.0"/>
              </w:rPr>
              <w:t xml:space="preserve">Organism</w:t>
            </w:r>
          </w:p>
        </w:tc>
        <w:tc>
          <w:tcPr>
            <w:tcW w:w="3600" w:type="dxa"/>
            <w:vAlign w:val="top"/>
          </w:tcPr>
          <w:p>
            <w:pPr>
              <w:pStyle w:val="Normal"/>
              <w:spacing w:before="0" w:after="100"/>
              <w:shd w:val="clear" w:color="auto" w:fill="F7F9FF"/>
              <w:rPr/>
            </w:pPr>
            <w:r>
              <w:rPr>
                <w:sz w:val="19.0"/>
                <w:szCs w:val="19.0"/>
              </w:rPr>
              <w:t xml:space="preserve">Aspergillus niger, solid-state fermentation</w:t>
            </w:r>
          </w:p>
        </w:tc>
        <w:tc>
          <w:tcPr>
            <w:tcW w:w="2160" w:type="dxa"/>
            <w:vAlign w:val="top"/>
          </w:tcPr>
          <w:p>
            <w:pPr>
              <w:pStyle w:val="Normal"/>
              <w:spacing w:before="0" w:after="100"/>
              <w:shd w:val="clear" w:color="auto" w:fill="F7F9FF"/>
              <w:rPr/>
            </w:pPr>
            <w:r>
              <w:rPr>
                <w:sz w:val="19.0"/>
                <w:szCs w:val="19.0"/>
              </w:rPr>
              <w:t xml:space="preserve">Okedi et al. (2024)</w:t>
            </w:r>
          </w:p>
        </w:tc>
      </w:tr>
      <w:tr>
        <w:tc>
          <w:tcPr>
            <w:tcW w:w="3600" w:type="dxa"/>
            <w:vAlign w:val="top"/>
          </w:tcPr>
          <w:p>
            <w:pPr>
              <w:pStyle w:val="Normal"/>
              <w:spacing w:before="0" w:after="100"/>
              <w:rPr/>
            </w:pPr>
            <w:r>
              <w:rPr>
                <w:sz w:val="19.0"/>
                <w:szCs w:val="19.0"/>
              </w:rPr>
              <w:t xml:space="preserve">Fermentation temperature</w:t>
            </w:r>
          </w:p>
        </w:tc>
        <w:tc>
          <w:tcPr>
            <w:tcW w:w="3600" w:type="dxa"/>
            <w:vAlign w:val="top"/>
          </w:tcPr>
          <w:p>
            <w:pPr>
              <w:pStyle w:val="Normal"/>
              <w:spacing w:before="0" w:after="100"/>
              <w:rPr/>
            </w:pPr>
            <w:r>
              <w:rPr>
                <w:sz w:val="19.0"/>
                <w:szCs w:val="19.0"/>
              </w:rPr>
              <w:t xml:space="preserve">30 degrees C</w:t>
            </w:r>
          </w:p>
        </w:tc>
        <w:tc>
          <w:tcPr>
            <w:tcW w:w="2160" w:type="dxa"/>
            <w:vAlign w:val="top"/>
          </w:tcPr>
          <w:p>
            <w:pPr>
              <w:pStyle w:val="Normal"/>
              <w:spacing w:before="0" w:after="100"/>
              <w:rPr/>
            </w:pPr>
            <w:r>
              <w:rPr>
                <w:sz w:val="19.0"/>
                <w:szCs w:val="19.0"/>
              </w:rPr>
              <w:t xml:space="preserve">Okedi et al. (2024)</w:t>
            </w:r>
          </w:p>
        </w:tc>
      </w:tr>
      <w:tr>
        <w:tc>
          <w:tcPr>
            <w:tcW w:w="3600" w:type="dxa"/>
            <w:vAlign w:val="top"/>
          </w:tcPr>
          <w:p>
            <w:pPr>
              <w:pStyle w:val="Normal"/>
              <w:spacing w:before="0" w:after="100"/>
              <w:shd w:val="clear" w:color="auto" w:fill="F7F9FF"/>
              <w:rPr/>
            </w:pPr>
            <w:r>
              <w:rPr>
                <w:sz w:val="19.0"/>
                <w:szCs w:val="19.0"/>
              </w:rPr>
              <w:t xml:space="preserve">Fermentation duration</w:t>
            </w:r>
          </w:p>
        </w:tc>
        <w:tc>
          <w:tcPr>
            <w:tcW w:w="3600" w:type="dxa"/>
            <w:vAlign w:val="top"/>
          </w:tcPr>
          <w:p>
            <w:pPr>
              <w:pStyle w:val="Normal"/>
              <w:spacing w:before="0" w:after="100"/>
              <w:shd w:val="clear" w:color="auto" w:fill="F7F9FF"/>
              <w:rPr/>
            </w:pPr>
            <w:r>
              <w:rPr>
                <w:sz w:val="19.0"/>
                <w:szCs w:val="19.0"/>
              </w:rPr>
              <w:t xml:space="preserve">6 days</w:t>
            </w:r>
          </w:p>
        </w:tc>
        <w:tc>
          <w:tcPr>
            <w:tcW w:w="2160" w:type="dxa"/>
            <w:vAlign w:val="top"/>
          </w:tcPr>
          <w:p>
            <w:pPr>
              <w:pStyle w:val="Normal"/>
              <w:spacing w:before="0" w:after="100"/>
              <w:shd w:val="clear" w:color="auto" w:fill="F7F9FF"/>
              <w:rPr/>
            </w:pPr>
            <w:r>
              <w:rPr>
                <w:sz w:val="19.0"/>
                <w:szCs w:val="19.0"/>
              </w:rPr>
              <w:t xml:space="preserve">Okedi et al. (2024)</w:t>
            </w:r>
          </w:p>
        </w:tc>
      </w:tr>
      <w:tr>
        <w:tc>
          <w:tcPr>
            <w:tcW w:w="3600" w:type="dxa"/>
            <w:vAlign w:val="top"/>
          </w:tcPr>
          <w:p>
            <w:pPr>
              <w:pStyle w:val="Normal"/>
              <w:spacing w:before="0" w:after="100"/>
              <w:rPr/>
            </w:pPr>
            <w:r>
              <w:rPr>
                <w:sz w:val="19.0"/>
                <w:szCs w:val="19.0"/>
              </w:rPr>
              <w:t xml:space="preserve">Maximum citric acid yield</w:t>
            </w:r>
          </w:p>
        </w:tc>
        <w:tc>
          <w:tcPr>
            <w:tcW w:w="3600" w:type="dxa"/>
            <w:vAlign w:val="top"/>
          </w:tcPr>
          <w:p>
            <w:pPr>
              <w:pStyle w:val="Normal"/>
              <w:spacing w:before="0" w:after="100"/>
              <w:rPr/>
            </w:pPr>
            <w:r>
              <w:rPr>
                <w:sz w:val="19.0"/>
                <w:szCs w:val="19.0"/>
              </w:rPr>
              <w:t xml:space="preserve">43.08 g/L  (+49.1% vs baseline)</w:t>
            </w:r>
          </w:p>
        </w:tc>
        <w:tc>
          <w:tcPr>
            <w:tcW w:w="2160" w:type="dxa"/>
            <w:vAlign w:val="top"/>
          </w:tcPr>
          <w:p>
            <w:pPr>
              <w:pStyle w:val="Normal"/>
              <w:spacing w:before="0" w:after="100"/>
              <w:rPr/>
            </w:pPr>
            <w:r>
              <w:rPr>
                <w:sz w:val="19.0"/>
                <w:szCs w:val="19.0"/>
              </w:rPr>
              <w:t xml:space="preserve">Okedi et al. (2024)</w:t>
            </w:r>
          </w:p>
        </w:tc>
      </w:tr>
      <w:tr>
        <w:tc>
          <w:tcPr>
            <w:tcW w:w="3600" w:type="dxa"/>
            <w:vAlign w:val="top"/>
          </w:tcPr>
          <w:p>
            <w:pPr>
              <w:pStyle w:val="Normal"/>
              <w:spacing w:before="0" w:after="100"/>
              <w:shd w:val="clear" w:color="auto" w:fill="F7F9FF"/>
              <w:rPr/>
            </w:pPr>
            <w:r>
              <w:rPr>
                <w:sz w:val="19.0"/>
                <w:szCs w:val="19.0"/>
              </w:rPr>
              <w:t xml:space="preserve">BioForge ML model R2</w:t>
            </w:r>
          </w:p>
        </w:tc>
        <w:tc>
          <w:tcPr>
            <w:tcW w:w="3600" w:type="dxa"/>
            <w:vAlign w:val="top"/>
          </w:tcPr>
          <w:p>
            <w:pPr>
              <w:pStyle w:val="Normal"/>
              <w:spacing w:before="0" w:after="100"/>
              <w:shd w:val="clear" w:color="auto" w:fill="F7F9FF"/>
              <w:rPr/>
            </w:pPr>
            <w:r>
              <w:rPr>
                <w:sz w:val="19.0"/>
                <w:szCs w:val="19.0"/>
              </w:rPr>
              <w:t xml:space="preserve">0.99883 (ANN, tanh, MFFF architecture)</w:t>
            </w:r>
          </w:p>
        </w:tc>
        <w:tc>
          <w:tcPr>
            <w:tcW w:w="2160" w:type="dxa"/>
            <w:vAlign w:val="top"/>
          </w:tcPr>
          <w:p>
            <w:pPr>
              <w:pStyle w:val="Normal"/>
              <w:spacing w:before="0" w:after="100"/>
              <w:shd w:val="clear" w:color="auto" w:fill="F7F9FF"/>
              <w:rPr/>
            </w:pPr>
            <w:r>
              <w:rPr>
                <w:sz w:val="19.0"/>
                <w:szCs w:val="19.0"/>
              </w:rPr>
              <w:t xml:space="preserve">BioForge Stage 1</w:t>
            </w:r>
          </w:p>
        </w:tc>
      </w:tr>
      <w:tr>
        <w:tc>
          <w:tcPr>
            <w:tcW w:w="3600" w:type="dxa"/>
            <w:vAlign w:val="top"/>
          </w:tcPr>
          <w:p>
            <w:pPr>
              <w:pStyle w:val="Normal"/>
              <w:spacing w:before="0" w:after="100"/>
              <w:rPr/>
            </w:pPr>
            <w:r>
              <w:rPr>
                <w:sz w:val="19.0"/>
                <w:szCs w:val="19.0"/>
              </w:rPr>
              <w:t xml:space="preserve">Optimal EDTA</w:t>
            </w:r>
          </w:p>
        </w:tc>
        <w:tc>
          <w:tcPr>
            <w:tcW w:w="3600" w:type="dxa"/>
            <w:vAlign w:val="top"/>
          </w:tcPr>
          <w:p>
            <w:pPr>
              <w:pStyle w:val="Normal"/>
              <w:spacing w:before="0" w:after="100"/>
              <w:rPr/>
            </w:pPr>
            <w:r>
              <w:rPr>
                <w:sz w:val="19.0"/>
                <w:szCs w:val="19.0"/>
              </w:rPr>
              <w:t xml:space="preserve">0.30 g/L</w:t>
            </w:r>
          </w:p>
        </w:tc>
        <w:tc>
          <w:tcPr>
            <w:tcW w:w="2160" w:type="dxa"/>
            <w:vAlign w:val="top"/>
          </w:tcPr>
          <w:p>
            <w:pPr>
              <w:pStyle w:val="Normal"/>
              <w:spacing w:before="0" w:after="100"/>
              <w:rPr/>
            </w:pPr>
            <w:r>
              <w:rPr>
                <w:sz w:val="19.0"/>
                <w:szCs w:val="19.0"/>
              </w:rPr>
              <w:t xml:space="preserve">Okedi et al. (2024) / BioForge</w:t>
            </w:r>
          </w:p>
        </w:tc>
      </w:tr>
      <w:tr>
        <w:tc>
          <w:tcPr>
            <w:tcW w:w="3600" w:type="dxa"/>
            <w:vAlign w:val="top"/>
          </w:tcPr>
          <w:p>
            <w:pPr>
              <w:pStyle w:val="Normal"/>
              <w:spacing w:before="0" w:after="100"/>
              <w:shd w:val="clear" w:color="auto" w:fill="F7F9FF"/>
              <w:rPr/>
            </w:pPr>
            <w:r>
              <w:rPr>
                <w:sz w:val="19.0"/>
                <w:szCs w:val="19.0"/>
              </w:rPr>
              <w:t xml:space="preserve">Optimal Coconut Oil</w:t>
            </w:r>
          </w:p>
        </w:tc>
        <w:tc>
          <w:tcPr>
            <w:tcW w:w="3600" w:type="dxa"/>
            <w:vAlign w:val="top"/>
          </w:tcPr>
          <w:p>
            <w:pPr>
              <w:pStyle w:val="Normal"/>
              <w:spacing w:before="0" w:after="100"/>
              <w:shd w:val="clear" w:color="auto" w:fill="F7F9FF"/>
              <w:rPr/>
            </w:pPr>
            <w:r>
              <w:rPr>
                <w:sz w:val="19.0"/>
                <w:szCs w:val="19.0"/>
              </w:rPr>
              <w:t xml:space="preserve">2.50 %w/w</w:t>
            </w:r>
          </w:p>
        </w:tc>
        <w:tc>
          <w:tcPr>
            <w:tcW w:w="2160" w:type="dxa"/>
            <w:vAlign w:val="top"/>
          </w:tcPr>
          <w:p>
            <w:pPr>
              <w:pStyle w:val="Normal"/>
              <w:spacing w:before="0" w:after="100"/>
              <w:shd w:val="clear" w:color="auto" w:fill="F7F9FF"/>
              <w:rPr/>
            </w:pPr>
            <w:r>
              <w:rPr>
                <w:sz w:val="19.0"/>
                <w:szCs w:val="19.0"/>
              </w:rPr>
              <w:t xml:space="preserve">Okedi et al. (2024) / BioForge</w:t>
            </w:r>
          </w:p>
        </w:tc>
      </w:tr>
      <w:tr>
        <w:tc>
          <w:tcPr>
            <w:tcW w:w="3600" w:type="dxa"/>
            <w:vAlign w:val="top"/>
          </w:tcPr>
          <w:p>
            <w:pPr>
              <w:pStyle w:val="Normal"/>
              <w:spacing w:before="0" w:after="100"/>
              <w:rPr/>
            </w:pPr>
            <w:r>
              <w:rPr>
                <w:sz w:val="19.0"/>
                <w:szCs w:val="19.0"/>
              </w:rPr>
              <w:t xml:space="preserve">Optimal Sodium Fluoride</w:t>
            </w:r>
          </w:p>
        </w:tc>
        <w:tc>
          <w:tcPr>
            <w:tcW w:w="3600" w:type="dxa"/>
            <w:vAlign w:val="top"/>
          </w:tcPr>
          <w:p>
            <w:pPr>
              <w:pStyle w:val="Normal"/>
              <w:spacing w:before="0" w:after="100"/>
              <w:rPr/>
            </w:pPr>
            <w:r>
              <w:rPr>
                <w:sz w:val="19.0"/>
                <w:szCs w:val="19.0"/>
              </w:rPr>
              <w:t xml:space="preserve">0.05 g/L</w:t>
            </w:r>
          </w:p>
        </w:tc>
        <w:tc>
          <w:tcPr>
            <w:tcW w:w="2160" w:type="dxa"/>
            <w:vAlign w:val="top"/>
          </w:tcPr>
          <w:p>
            <w:pPr>
              <w:pStyle w:val="Normal"/>
              <w:spacing w:before="0" w:after="100"/>
              <w:rPr/>
            </w:pPr>
            <w:r>
              <w:rPr>
                <w:sz w:val="19.0"/>
                <w:szCs w:val="19.0"/>
              </w:rPr>
              <w:t xml:space="preserve">Okedi et al. (2024) / BioForge</w:t>
            </w:r>
          </w:p>
        </w:tc>
      </w:tr>
      <w:tr>
        <w:tc>
          <w:tcPr>
            <w:tcW w:w="3600" w:type="dxa"/>
            <w:vAlign w:val="top"/>
          </w:tcPr>
          <w:p>
            <w:pPr>
              <w:pStyle w:val="Normal"/>
              <w:spacing w:before="0" w:after="100"/>
              <w:shd w:val="clear" w:color="auto" w:fill="F7F9FF"/>
              <w:rPr/>
            </w:pPr>
            <w:r>
              <w:rPr>
                <w:sz w:val="19.0"/>
                <w:szCs w:val="19.0"/>
              </w:rPr>
              <w:t xml:space="preserve">Feed concentration for HFC design</w:t>
            </w:r>
          </w:p>
        </w:tc>
        <w:tc>
          <w:tcPr>
            <w:tcW w:w="3600" w:type="dxa"/>
            <w:vAlign w:val="top"/>
          </w:tcPr>
          <w:p>
            <w:pPr>
              <w:pStyle w:val="Normal"/>
              <w:spacing w:before="0" w:after="100"/>
              <w:shd w:val="clear" w:color="auto" w:fill="F7F9FF"/>
              <w:rPr/>
            </w:pPr>
            <w:r>
              <w:rPr>
                <w:sz w:val="19.0"/>
                <w:szCs w:val="19.0"/>
              </w:rPr>
              <w:t xml:space="preserve">43.08 g/L citric acid</w:t>
            </w:r>
          </w:p>
        </w:tc>
        <w:tc>
          <w:tcPr>
            <w:tcW w:w="2160" w:type="dxa"/>
            <w:vAlign w:val="top"/>
          </w:tcPr>
          <w:p>
            <w:pPr>
              <w:pStyle w:val="Normal"/>
              <w:spacing w:before="0" w:after="100"/>
              <w:shd w:val="clear" w:color="auto" w:fill="F7F9FF"/>
              <w:rPr/>
            </w:pPr>
            <w:r>
              <w:rPr>
                <w:sz w:val="19.0"/>
                <w:szCs w:val="19.0"/>
              </w:rPr>
              <w:t xml:space="preserve">This study</w:t>
            </w:r>
          </w:p>
        </w:tc>
      </w:tr>
    </w:tbl>
    <w:p>
      <w:pPr>
        <w:pStyle w:val="Normal"/>
        <w:spacing w:before="200" w:after="80"/>
        <w:rPr/>
      </w:pPr>
      <w:r>
        <w:rPr>
          <w:sz w:val="24"/>
          <w:szCs w:val="24"/>
          <w:b/>
          <w:bCs/>
          <w:color w:val="1A4D8F"/>
        </w:rPr>
        <w:t xml:space="preserve">2.3  The Downstream Separation Bottleneck</w:t>
      </w:r>
    </w:p>
    <w:p>
      <w:pPr>
        <w:pStyle w:val="Normal"/>
        <w:spacing w:before="0" w:after="100"/>
        <w:rPr/>
      </w:pPr>
      <w:r>
        <w:rPr>
          <w:sz w:val="22"/>
          <w:szCs w:val="22"/>
        </w:rPr>
        <w:t xml:space="preserve">After fermentation, the broth contains citric acid distributed among fungal biomass, residual substrate, secreted enzymes, and other metabolites. Conventional downstream processing involves precipitation with calcium hydroxide, acidulation with sulfuric acid, decolorization, and crystallization -- generating calcium sulfate waste and achieving only 85 to 90% recovery. Liquid-liquid extraction using reactive solvents (tertiary amines such as Alamine 336) offers a more direct route, and hollow-fiber contactors are ideally suited for implementing this step -- maintaining a stable aqueous-organic interface without emulsification, sized using the Yang-Cussler design equations.</w:t>
      </w:r>
    </w:p>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3.  Hollow-Fiber Membrane Contactor: Theoretical Foundation</w:t>
      </w:r>
    </w:p>
    <w:p>
      <w:pPr>
        <w:pStyle w:val="Normal"/>
        <w:spacing w:before="200" w:after="80"/>
        <w:rPr/>
      </w:pPr>
      <w:r>
        <w:rPr>
          <w:sz w:val="24"/>
          <w:szCs w:val="24"/>
          <w:b/>
          <w:bCs/>
          <w:color w:val="1A4D8F"/>
        </w:rPr>
        <w:t xml:space="preserve">3.1  Module Geometries</w:t>
      </w:r>
    </w:p>
    <w:p>
      <w:pPr>
        <w:pStyle w:val="Normal"/>
        <w:spacing w:before="160" w:after="60"/>
        <w:rPr/>
      </w:pPr>
      <w:r>
        <w:rPr>
          <w:sz w:val="22"/>
          <w:szCs w:val="22"/>
          <w:b/>
          <w:bCs/>
          <w:i/>
          <w:iCs/>
          <w:color w:val="1A4D8F"/>
        </w:rPr>
        <w:t xml:space="preserve">3.1.1  Cylindrical Shell Module (Selected for This Design)</w:t>
      </w:r>
    </w:p>
    <w:p>
      <w:pPr>
        <w:pStyle w:val="Normal"/>
        <w:spacing w:before="0" w:after="100"/>
        <w:rPr/>
      </w:pPr>
      <w:r>
        <w:rPr>
          <w:sz w:val="22"/>
          <w:szCs w:val="22"/>
        </w:rPr>
        <w:t xml:space="preserve">The cylindrical shell module consists of microporous hollow fibers bundled inside a cylindrical shell, analogous to a shell-and-tube heat exchanger. Liquid flows through the fiber lumens and extracting solvent through the shell side. This geometry is selected for the BioForge Stage 2 design because it produces well-defined lumen flow with predictable mass transfer governed by the Sieder-Tate correlation, and it is the most widely validated configuration in literature. Yang and Cussler reported flow rates of 2 to 20 cm3/s for this module type.</w:t>
      </w:r>
    </w:p>
    <w:p>
      <w:pPr>
        <w:pStyle w:val="Normal"/>
        <w:spacing w:before="160" w:after="60"/>
        <w:rPr/>
      </w:pPr>
      <w:r>
        <w:rPr>
          <w:sz w:val="22"/>
          <w:szCs w:val="22"/>
          <w:b/>
          <w:bCs/>
          <w:i/>
          <w:iCs/>
          <w:color w:val="1A4D8F"/>
        </w:rPr>
        <w:t xml:space="preserve">3.1.2  Crossflow Module (Future Consideration)</w:t>
      </w:r>
    </w:p>
    <w:p>
      <w:pPr>
        <w:pStyle w:val="Normal"/>
        <w:spacing w:before="0" w:after="100"/>
        <w:rPr/>
      </w:pPr>
      <w:r>
        <w:rPr>
          <w:sz w:val="22"/>
          <w:szCs w:val="22"/>
        </w:rPr>
        <w:t xml:space="preserve">In the crossflow configuration, liquid flows perpendicular to the fiber bundle, creating wakes that enhance shell-side mixing. Yang and Cussler reported 40% higher mass transfer coefficients for 750-fiber crossflow modules vs. 72-fiber modules. For the citric acid / Alamine 336 system studied here, lumen-side resistance dominates (K approx K_L, confirmed in Section 3.3), so the parallel-flow cylindrical geometry is selected. Crossflow configurations will be evaluated in BioForge Stage 2 software as an optimization option.</w:t>
      </w:r>
    </w:p>
    <w:p>
      <w:pPr>
        <w:pStyle w:val="Normal"/>
        <w:spacing w:before="200" w:after="80"/>
        <w:rPr/>
      </w:pPr>
      <w:r>
        <w:rPr>
          <w:sz w:val="24"/>
          <w:szCs w:val="24"/>
          <w:b/>
          <w:bCs/>
          <w:color w:val="1A4D8F"/>
        </w:rPr>
        <w:t xml:space="preserve">3.2  Mass Transfer Theory</w:t>
      </w:r>
    </w:p>
    <w:p>
      <w:pPr>
        <w:pStyle w:val="Normal"/>
        <w:spacing w:before="0" w:after="100"/>
        <w:rPr/>
      </w:pPr>
      <w:r>
        <w:rPr>
          <w:sz w:val="22"/>
          <w:szCs w:val="22"/>
        </w:rPr>
        <w:t xml:space="preserve">Film theory (Cussler, 1984) governs the rate of citric acid transfer from the fermentation broth into the extracting solvent across the hollow-fiber membrane. Assuming concentration changes occur only within thin films adjacent to phase boundaries:</w:t>
      </w:r>
    </w:p>
    <w:p>
      <w:pPr>
        <w:pStyle w:val="Normal"/>
        <w:jc w:val="center"/>
        <w:spacing w:before="80" w:after="80"/>
        <w:shd w:val="clear" w:color="auto" w:fill="F0F4FF"/>
        <w:rPr/>
      </w:pPr>
      <w:r>
        <w:rPr>
          <w:rFonts w:ascii="Courier New" w:hAnsi="Courier New" w:cs="Courier New"/>
          <w:sz w:val="20"/>
          <w:szCs w:val="20"/>
          <w:color w:val="1A237E"/>
        </w:rPr>
        <w:t xml:space="preserve">N = K (Ci - Cbulk)                                         [Eq. 1]</w:t>
      </w:r>
    </w:p>
    <w:p>
      <w:pPr>
        <w:pStyle w:val="Normal"/>
        <w:spacing w:before="0" w:after="100"/>
        <w:rPr/>
      </w:pPr>
      <w:r>
        <w:rPr>
          <w:sz w:val="22"/>
          <w:szCs w:val="22"/>
        </w:rPr>
        <w:t xml:space="preserve">where N = molar flux [mol/(s cm2)], K = overall mass transfer coefficient [cm/s], Ci = solute concentration at the interface, Cbulk = bulk concentration. The overall resistance is the sum of three resistances in series:</w:t>
      </w:r>
    </w:p>
    <w:p>
      <w:pPr>
        <w:pStyle w:val="Normal"/>
        <w:jc w:val="center"/>
        <w:spacing w:before="80" w:after="80"/>
        <w:shd w:val="clear" w:color="auto" w:fill="F0F4FF"/>
        <w:rPr/>
      </w:pPr>
      <w:r>
        <w:rPr>
          <w:rFonts w:ascii="Courier New" w:hAnsi="Courier New" w:cs="Courier New"/>
          <w:sz w:val="20"/>
          <w:szCs w:val="20"/>
          <w:color w:val="1A237E"/>
        </w:rPr>
        <w:t xml:space="preserve">1/K = 1/KL + 1/(KM*H) + 1/(KV*H)                         [Eq. 2]</w:t>
      </w:r>
    </w:p>
    <w:p>
      <w:pPr>
        <w:pStyle w:val="Normal"/>
        <w:spacing w:before="0" w:after="100"/>
        <w:rPr/>
      </w:pPr>
      <w:r>
        <w:rPr>
          <w:sz w:val="22"/>
          <w:szCs w:val="22"/>
        </w:rPr>
        <w:t xml:space="preserve">where KL = liquid-phase coefficient, KM = membrane coefficient, KV = organic-phase coefficient, H = distribution coefficient. For reactive extraction of citric acid with Alamine 336, H is large (5 to 20 at pH 2-3), making the membrane and organic-phase resistance terms negligible:</w:t>
      </w:r>
    </w:p>
    <w:p>
      <w:pPr>
        <w:pStyle w:val="Normal"/>
        <w:jc w:val="center"/>
        <w:spacing w:before="80" w:after="80"/>
        <w:shd w:val="clear" w:color="auto" w:fill="F0F4FF"/>
        <w:rPr/>
      </w:pPr>
      <w:r>
        <w:rPr>
          <w:rFonts w:ascii="Courier New" w:hAnsi="Courier New" w:cs="Courier New"/>
          <w:sz w:val="20"/>
          <w:szCs w:val="20"/>
          <w:color w:val="1A237E"/>
        </w:rPr>
        <w:t xml:space="preserve">K  approx  KL      (when H &gt;&gt; 1, reactive extraction regime)   [Eq. 3]</w:t>
      </w:r>
    </w:p>
    <w:p>
      <w:pPr>
        <w:pStyle w:val="Normal"/>
        <w:spacing w:before="200" w:after="80"/>
        <w:rPr/>
      </w:pPr>
      <w:r>
        <w:rPr>
          <w:sz w:val="24"/>
          <w:szCs w:val="24"/>
          <w:b/>
          <w:bCs/>
          <w:color w:val="1A4D8F"/>
        </w:rPr>
        <w:t xml:space="preserve">3.3  Yang-Cussler Design Equation</w:t>
      </w:r>
    </w:p>
    <w:p>
      <w:pPr>
        <w:pStyle w:val="Normal"/>
        <w:spacing w:before="0" w:after="100"/>
        <w:rPr/>
      </w:pPr>
      <w:r>
        <w:rPr>
          <w:sz w:val="22"/>
          <w:szCs w:val="22"/>
        </w:rPr>
        <w:t xml:space="preserve">For liquid flowing through the fiber lumen past a reactive extracting solvent on the shell side, the fractional recovery is:</w:t>
      </w:r>
    </w:p>
    <w:p>
      <w:pPr>
        <w:pStyle w:val="Normal"/>
        <w:jc w:val="center"/>
        <w:spacing w:before="80" w:after="80"/>
        <w:shd w:val="clear" w:color="auto" w:fill="F0F4FF"/>
        <w:rPr/>
      </w:pPr>
      <w:r>
        <w:rPr>
          <w:rFonts w:ascii="Courier New" w:hAnsi="Courier New" w:cs="Courier New"/>
          <w:sz w:val="20"/>
          <w:szCs w:val="20"/>
          <w:color w:val="1A237E"/>
        </w:rPr>
        <w:t xml:space="preserve">eta = 1 - exp(-KL * A / QL)                                [Eq. 4]</w:t>
      </w:r>
    </w:p>
    <w:p>
      <w:pPr>
        <w:pStyle w:val="Normal"/>
        <w:spacing w:before="200" w:after="80"/>
        <w:rPr/>
      </w:pPr>
      <w:r>
        <w:rPr>
          <w:sz w:val="24"/>
          <w:szCs w:val="24"/>
          <w:b/>
          <w:bCs/>
          <w:color w:val="1A4D8F"/>
        </w:rPr>
        <w:t xml:space="preserve">3.4  Sieder-Tate Correlation for KL</w:t>
      </w:r>
    </w:p>
    <w:p>
      <w:pPr>
        <w:pStyle w:val="Normal"/>
        <w:spacing w:before="0" w:after="100"/>
        <w:rPr/>
      </w:pPr>
      <w:r>
        <w:rPr>
          <w:sz w:val="22"/>
          <w:szCs w:val="22"/>
        </w:rPr>
        <w:t xml:space="preserve">The liquid-phase mass transfer coefficient under laminar lumen-side flow is predicted by the Sieder-Tate correlation adapted for mass transfer (Yang-Cussler, 1986):</w:t>
      </w:r>
    </w:p>
    <w:p>
      <w:pPr>
        <w:pStyle w:val="Normal"/>
        <w:jc w:val="center"/>
        <w:spacing w:before="80" w:after="80"/>
        <w:shd w:val="clear" w:color="auto" w:fill="F0F4FF"/>
        <w:rPr/>
      </w:pPr>
      <w:r>
        <w:rPr>
          <w:rFonts w:ascii="Courier New" w:hAnsi="Courier New" w:cs="Courier New"/>
          <w:sz w:val="20"/>
          <w:szCs w:val="20"/>
          <w:color w:val="1A237E"/>
        </w:rPr>
        <w:t xml:space="preserve">Sh = 1.86 * Gz^(1/3)                                       [Eq. 5]</w:t>
      </w:r>
    </w:p>
    <w:p>
      <w:pPr>
        <w:pStyle w:val="Normal"/>
        <w:jc w:val="center"/>
        <w:spacing w:before="80" w:after="80"/>
        <w:shd w:val="clear" w:color="auto" w:fill="F0F4FF"/>
        <w:rPr/>
      </w:pPr>
      <w:r>
        <w:rPr>
          <w:rFonts w:ascii="Courier New" w:hAnsi="Courier New" w:cs="Courier New"/>
          <w:sz w:val="20"/>
          <w:szCs w:val="20"/>
          <w:color w:val="1A237E"/>
        </w:rPr>
        <w:t xml:space="preserve">where: Sh = KL*di/D     Gz = Re*Sc*(di/L)                  [Eq. 6]</w:t>
      </w:r>
    </w:p>
    <w:p>
      <w:pPr>
        <w:pStyle w:val="Normal"/>
        <w:jc w:val="center"/>
        <w:spacing w:before="80" w:after="80"/>
        <w:shd w:val="clear" w:color="auto" w:fill="F0F4FF"/>
        <w:rPr/>
      </w:pPr>
      <w:r>
        <w:rPr>
          <w:rFonts w:ascii="Courier New" w:hAnsi="Courier New" w:cs="Courier New"/>
          <w:sz w:val="20"/>
          <w:szCs w:val="20"/>
          <w:color w:val="1A237E"/>
        </w:rPr>
        <w:t xml:space="preserve">       Re = rho*VL*di/mu     Sc = mu/(rho*D)               [Eq. 7]</w:t>
      </w:r>
    </w:p>
    <w:p>
      <w:pPr>
        <w:pStyle w:val="Normal"/>
        <w:spacing w:before="0" w:after="100"/>
        <w:rPr/>
      </w:pPr>
      <w:r>
        <w:rPr>
          <w:sz w:val="22"/>
          <w:szCs w:val="22"/>
        </w:rPr>
        <w:t xml:space="preserve">Rearranging: KL = (1.86 * Gz^(1/3) * D) / di              [Eq. 8]</w:t>
      </w:r>
    </w:p>
    <w:p>
      <w:pPr>
        <w:pStyle w:val="Normal"/>
        <w:spacing w:before="0" w:after="100"/>
        <w:rPr/>
      </w:pPr>
      <w:r>
        <w:rPr>
          <w:sz w:val="22"/>
          <w:szCs w:val="22"/>
        </w:rPr>
        <w:t xml:space="preserve">This correlation applies when Re &lt; 2,100 (laminar regime) and was experimentally confirmed by Yang and Cussler for oxygen extraction from water across cylindrical parallel-flow modules using the same polypropylene fiber geometry selected for this design.</w:t>
      </w:r>
    </w:p>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4.  Experimental Validation Basis</w:t>
      </w:r>
    </w:p>
    <w:p>
      <w:pPr>
        <w:pStyle w:val="Normal"/>
        <w:spacing w:before="200" w:after="80"/>
        <w:rPr/>
      </w:pPr>
      <w:r>
        <w:rPr>
          <w:sz w:val="24"/>
          <w:szCs w:val="24"/>
          <w:b/>
          <w:bCs/>
          <w:color w:val="1A4D8F"/>
        </w:rPr>
        <w:t xml:space="preserve">4.1  Yang and Cussler (1986): Gas-Liquid Baseline</w:t>
      </w:r>
    </w:p>
    <w:p>
      <w:pPr>
        <w:pStyle w:val="Normal"/>
        <w:spacing w:before="0" w:after="100"/>
        <w:rPr/>
      </w:pPr>
      <w:r>
        <w:rPr>
          <w:sz w:val="22"/>
          <w:szCs w:val="22"/>
        </w:rPr>
        <w:t xml:space="preserve">Yang and Cussler validated the Sieder-Tate correlation (Eq. 5) for three module configurations and two solute-solvent systems. Key findings directly supporting this design:</w:t>
      </w:r>
    </w:p>
    <w:p>
      <w:pPr>
        <w:pStyle w:val="Normal"/>
        <w:spacing w:before="0" w:after="100"/>
        <w:rPr/>
      </w:pPr>
      <w:r>
        <w:rPr>
          <w:sz w:val="22"/>
          <w:szCs w:val="22"/>
        </w:rPr>
        <w:t xml:space="preserve">(1) Experimental Sherwood numbers agreed with Sh = 1.86 Gz^(1/3) across 16, 120, and 2,100-fiber modules -- confirming reliability across a range of N values.</w:t>
      </w:r>
    </w:p>
    <w:p>
      <w:pPr>
        <w:pStyle w:val="Normal"/>
        <w:spacing w:before="0" w:after="100"/>
        <w:rPr/>
      </w:pPr>
      <w:r>
        <w:rPr>
          <w:sz w:val="22"/>
          <w:szCs w:val="22"/>
        </w:rPr>
        <w:t xml:space="preserve">(2) Liquid-phase resistance controlled mass transfer (KL dominant), identical to the condition established for the citric acid / Alamine 336 system (Section 3.3 above).</w:t>
      </w:r>
    </w:p>
    <w:p>
      <w:pPr>
        <w:pStyle w:val="Normal"/>
        <w:spacing w:before="0" w:after="100"/>
        <w:rPr/>
      </w:pPr>
      <w:r>
        <w:rPr>
          <w:sz w:val="22"/>
          <w:szCs w:val="22"/>
        </w:rPr>
        <w:t xml:space="preserve">(3) Fiber geometry (di = 0.04 cm, twall = 0.003 cm, polypropylene) is identical to the geometry used in this design, so the validated correlation applies directly.</w:t>
      </w:r>
    </w:p>
    <w:p>
      <w:pPr>
        <w:pStyle w:val="Normal"/>
        <w:spacing w:before="200" w:after="80"/>
        <w:rPr/>
      </w:pPr>
      <w:r>
        <w:rPr>
          <w:sz w:val="24"/>
          <w:szCs w:val="24"/>
          <w:b/>
          <w:bCs/>
          <w:color w:val="1A4D8F"/>
        </w:rPr>
        <w:t xml:space="preserve">4.2  Paul and Callahan (1987): Liquid-Liquid Extension</w:t>
      </w:r>
    </w:p>
    <w:p>
      <w:pPr>
        <w:pStyle w:val="Normal"/>
        <w:spacing w:before="0" w:after="100"/>
        <w:rPr/>
      </w:pPr>
      <w:r>
        <w:rPr>
          <w:sz w:val="22"/>
          <w:szCs w:val="22"/>
        </w:rPr>
        <w:t xml:space="preserve">Paul and Callahan extended Yang and Cussler's model to liquid-liquid extraction (gold from HCl solution into organic solvent). Their design equation:</w:t>
      </w:r>
    </w:p>
    <w:p>
      <w:pPr>
        <w:pStyle w:val="Normal"/>
        <w:jc w:val="center"/>
        <w:spacing w:before="80" w:after="80"/>
        <w:shd w:val="clear" w:color="auto" w:fill="F0F4FF"/>
        <w:rPr/>
      </w:pPr>
      <w:r>
        <w:rPr>
          <w:rFonts w:ascii="Courier New" w:hAnsi="Courier New" w:cs="Courier New"/>
          <w:sz w:val="20"/>
          <w:szCs w:val="20"/>
          <w:color w:val="1A237E"/>
        </w:rPr>
        <w:t xml:space="preserve">Sh = 1.62 * (VL*di^2 / D*L)^(1/3)                        [Eq. 9]</w:t>
      </w:r>
    </w:p>
    <w:p>
      <w:pPr>
        <w:pStyle w:val="Normal"/>
        <w:spacing w:before="0" w:after="100"/>
        <w:rPr/>
      </w:pPr>
      <w:r>
        <w:rPr>
          <w:sz w:val="22"/>
          <w:szCs w:val="22"/>
        </w:rPr>
        <w:t xml:space="preserve">is structurally identical to Yang and Cussler's Eq. 5, with the prefactor difference (1.62 vs 1.86) attributable to boundary condition differences. Paul and Callahan confirmed that for systems with large H, K approx KL -- validating the simplification used in this report. Their experiments demonstrated &gt;95% extraction efficiency in multi-pass configurations, directly validating the multi-module series approach proposed in Section 5.4.</w:t>
      </w:r>
    </w:p>
    <w:p>
      <w:pPr>
        <w:pStyle w:val="Normal"/>
        <w:spacing w:before="0" w:after="100"/>
        <w:rPr/>
      </w:pPr>
      <w:r>
        <w:rPr>
          <w:sz w:val="22"/>
          <w:szCs w:val="22"/>
        </w:rPr>
        <w:t xml:space="preserve">The citric acid / Alamine 336 system is chemically analogous to the gold / DGDE system: both involve a reactive organic extractant forming a strong complex, producing large H and making KL the sole limiting resistance. The Yang-Cussler correlation therefore applies to the citric acid case with high confidence.</w:t>
      </w:r>
    </w:p>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5.  Module Design and Sizing: Pilot Scale</w:t>
      </w:r>
    </w:p>
    <w:p>
      <w:pPr>
        <w:pStyle w:val="Normal"/>
        <w:spacing w:before="200" w:after="80"/>
        <w:rPr/>
      </w:pPr>
      <w:r>
        <w:rPr>
          <w:sz w:val="24"/>
          <w:szCs w:val="24"/>
          <w:b/>
          <w:bCs/>
          <w:color w:val="1A4D8F"/>
        </w:rPr>
        <w:t xml:space="preserve">5.1  Design Basis and Process Specifications</w:t>
      </w:r>
    </w:p>
    <w:p>
      <w:pPr>
        <w:pStyle w:val="Normal"/>
        <w:spacing w:before="0" w:after="100"/>
        <w:rPr/>
      </w:pPr>
      <w:r>
        <w:rPr>
          <w:sz w:val="22"/>
          <w:szCs w:val="22"/>
        </w:rPr>
        <w:t xml:space="preserve">The pilot-scale design targets a 100-L batch of filtered fermentation broth processed over a 2-hour window, consistent with a typical academic or small-industry pilot fermenter. The target recovery is 95% or greater. The extracting solvent is 20% v/v Alamine 336 (tri-n-octylamine) dissolved in n-heptane, with H = 5 to 15 at pH 2-3 (reactive regime).</w:t>
      </w:r>
    </w:p>
    <w:tbl>
      <w:tblPr>
        <w:tblBorders>
          <w:top w:val="single" w:sz="4" w:color="B0BEC5"/>
          <w:left w:val="single" w:sz="4" w:color="B0BEC5"/>
          <w:bottom w:val="single" w:sz="4" w:color="B0BEC5"/>
          <w:right w:val="single" w:sz="4" w:color="B0BEC5"/>
          <w:insideH w:val="single" w:sz="4" w:color="E0E0E0"/>
          <w:insideV w:val="single" w:sz="4" w:color="E0E0E0"/>
        </w:tblBorders>
        <w:tblW w:w="9360" w:type="dxa"/>
      </w:tblPr>
      <w:tblGrid>
        <w:gridCol w:w="3311"/>
        <w:gridCol w:w="1152"/>
        <w:gridCol w:w="2160"/>
        <w:gridCol w:w="2736"/>
      </w:tblGrid>
      <w:tr>
        <w:trPr>
          <w:tblHeader/>
        </w:trPr>
        <w:tc>
          <w:tcPr>
            <w:tcW w:w="3311" w:type="dxa"/>
            <w:shd w:val="clear" w:color="auto" w:fill="1A4D8F"/>
            <w:vAlign w:val="top"/>
          </w:tcPr>
          <w:p>
            <w:pPr>
              <w:pStyle w:val="Normal"/>
              <w:spacing w:before="0" w:after="100"/>
              <w:shd w:val="clear" w:color="auto" w:fill="1A4D8F"/>
              <w:rPr/>
            </w:pPr>
            <w:r>
              <w:rPr>
                <w:sz w:val="20"/>
                <w:szCs w:val="20"/>
                <w:b/>
                <w:bCs/>
                <w:color w:val="FFFFFF"/>
              </w:rPr>
              <w:t xml:space="preserve">Parameter</w:t>
            </w:r>
          </w:p>
        </w:tc>
        <w:tc>
          <w:tcPr>
            <w:tcW w:w="1152" w:type="dxa"/>
            <w:shd w:val="clear" w:color="auto" w:fill="1A4D8F"/>
            <w:vAlign w:val="top"/>
          </w:tcPr>
          <w:p>
            <w:pPr>
              <w:pStyle w:val="Normal"/>
              <w:spacing w:before="0" w:after="100"/>
              <w:shd w:val="clear" w:color="auto" w:fill="1A4D8F"/>
              <w:rPr/>
            </w:pPr>
            <w:r>
              <w:rPr>
                <w:sz w:val="20"/>
                <w:szCs w:val="20"/>
                <w:b/>
                <w:bCs/>
                <w:color w:val="FFFFFF"/>
              </w:rPr>
              <w:t xml:space="preserve">Symbol</w:t>
            </w:r>
          </w:p>
        </w:tc>
        <w:tc>
          <w:tcPr>
            <w:tcW w:w="2160" w:type="dxa"/>
            <w:shd w:val="clear" w:color="auto" w:fill="1A4D8F"/>
            <w:vAlign w:val="top"/>
          </w:tcPr>
          <w:p>
            <w:pPr>
              <w:pStyle w:val="Normal"/>
              <w:spacing w:before="0" w:after="100"/>
              <w:shd w:val="clear" w:color="auto" w:fill="1A4D8F"/>
              <w:rPr/>
            </w:pPr>
            <w:r>
              <w:rPr>
                <w:sz w:val="20"/>
                <w:szCs w:val="20"/>
                <w:b/>
                <w:bCs/>
                <w:color w:val="FFFFFF"/>
              </w:rPr>
              <w:t xml:space="preserve">Value</w:t>
            </w:r>
          </w:p>
        </w:tc>
        <w:tc>
          <w:tcPr>
            <w:tcW w:w="2736" w:type="dxa"/>
            <w:shd w:val="clear" w:color="auto" w:fill="1A4D8F"/>
            <w:vAlign w:val="top"/>
          </w:tcPr>
          <w:p>
            <w:pPr>
              <w:pStyle w:val="Normal"/>
              <w:spacing w:before="0" w:after="100"/>
              <w:shd w:val="clear" w:color="auto" w:fill="1A4D8F"/>
              <w:rPr/>
            </w:pPr>
            <w:r>
              <w:rPr>
                <w:sz w:val="20"/>
                <w:szCs w:val="20"/>
                <w:b/>
                <w:bCs/>
                <w:color w:val="FFFFFF"/>
              </w:rPr>
              <w:t xml:space="preserve">Units</w:t>
            </w:r>
          </w:p>
        </w:tc>
      </w:tr>
      <w:tr>
        <w:tc>
          <w:tcPr>
            <w:tcW w:w="3311" w:type="dxa"/>
            <w:vAlign w:val="top"/>
          </w:tcPr>
          <w:p>
            <w:pPr>
              <w:pStyle w:val="Normal"/>
              <w:spacing w:before="0" w:after="100"/>
              <w:rPr/>
            </w:pPr>
            <w:r>
              <w:rPr>
                <w:sz w:val="19.0"/>
                <w:szCs w:val="19.0"/>
              </w:rPr>
              <w:t xml:space="preserve">Batch volume (pilot)</w:t>
            </w:r>
          </w:p>
        </w:tc>
        <w:tc>
          <w:tcPr>
            <w:tcW w:w="1152" w:type="dxa"/>
            <w:vAlign w:val="top"/>
          </w:tcPr>
          <w:p>
            <w:pPr>
              <w:pStyle w:val="Normal"/>
              <w:spacing w:before="0" w:after="100"/>
              <w:rPr/>
            </w:pPr>
            <w:r>
              <w:rPr>
                <w:sz w:val="19.0"/>
                <w:szCs w:val="19.0"/>
              </w:rPr>
              <w:t xml:space="preserve">Vbatch</w:t>
            </w:r>
          </w:p>
        </w:tc>
        <w:tc>
          <w:tcPr>
            <w:tcW w:w="2160" w:type="dxa"/>
            <w:vAlign w:val="top"/>
          </w:tcPr>
          <w:p>
            <w:pPr>
              <w:pStyle w:val="Normal"/>
              <w:spacing w:before="0" w:after="100"/>
              <w:rPr/>
            </w:pPr>
            <w:r>
              <w:rPr>
                <w:sz w:val="19.0"/>
                <w:szCs w:val="19.0"/>
              </w:rPr>
              <w:t xml:space="preserve">100</w:t>
            </w:r>
          </w:p>
        </w:tc>
        <w:tc>
          <w:tcPr>
            <w:tcW w:w="2736" w:type="dxa"/>
            <w:vAlign w:val="top"/>
          </w:tcPr>
          <w:p>
            <w:pPr>
              <w:pStyle w:val="Normal"/>
              <w:spacing w:before="0" w:after="100"/>
              <w:rPr/>
            </w:pPr>
            <w:r>
              <w:rPr>
                <w:sz w:val="19.0"/>
                <w:szCs w:val="19.0"/>
              </w:rPr>
              <w:t xml:space="preserve">L</w:t>
            </w:r>
          </w:p>
        </w:tc>
      </w:tr>
      <w:tr>
        <w:tc>
          <w:tcPr>
            <w:tcW w:w="3311" w:type="dxa"/>
            <w:vAlign w:val="top"/>
          </w:tcPr>
          <w:p>
            <w:pPr>
              <w:pStyle w:val="Normal"/>
              <w:spacing w:before="0" w:after="100"/>
              <w:shd w:val="clear" w:color="auto" w:fill="F7F9FF"/>
              <w:rPr/>
            </w:pPr>
            <w:r>
              <w:rPr>
                <w:sz w:val="19.0"/>
                <w:szCs w:val="19.0"/>
              </w:rPr>
              <w:t xml:space="preserve">Processing time</w:t>
            </w:r>
          </w:p>
        </w:tc>
        <w:tc>
          <w:tcPr>
            <w:tcW w:w="1152" w:type="dxa"/>
            <w:vAlign w:val="top"/>
          </w:tcPr>
          <w:p>
            <w:pPr>
              <w:pStyle w:val="Normal"/>
              <w:spacing w:before="0" w:after="100"/>
              <w:shd w:val="clear" w:color="auto" w:fill="F7F9FF"/>
              <w:rPr/>
            </w:pPr>
            <w:r>
              <w:rPr>
                <w:sz w:val="19.0"/>
                <w:szCs w:val="19.0"/>
              </w:rPr>
              <w:t xml:space="preserve">t</w:t>
            </w:r>
          </w:p>
        </w:tc>
        <w:tc>
          <w:tcPr>
            <w:tcW w:w="2160" w:type="dxa"/>
            <w:vAlign w:val="top"/>
          </w:tcPr>
          <w:p>
            <w:pPr>
              <w:pStyle w:val="Normal"/>
              <w:spacing w:before="0" w:after="100"/>
              <w:shd w:val="clear" w:color="auto" w:fill="F7F9FF"/>
              <w:rPr/>
            </w:pPr>
            <w:r>
              <w:rPr>
                <w:sz w:val="19.0"/>
                <w:szCs w:val="19.0"/>
              </w:rPr>
              <w:t xml:space="preserve">2</w:t>
            </w:r>
          </w:p>
        </w:tc>
        <w:tc>
          <w:tcPr>
            <w:tcW w:w="2736" w:type="dxa"/>
            <w:vAlign w:val="top"/>
          </w:tcPr>
          <w:p>
            <w:pPr>
              <w:pStyle w:val="Normal"/>
              <w:spacing w:before="0" w:after="100"/>
              <w:shd w:val="clear" w:color="auto" w:fill="F7F9FF"/>
              <w:rPr/>
            </w:pPr>
            <w:r>
              <w:rPr>
                <w:sz w:val="19.0"/>
                <w:szCs w:val="19.0"/>
              </w:rPr>
              <w:t xml:space="preserve">h</w:t>
            </w:r>
          </w:p>
        </w:tc>
      </w:tr>
      <w:tr>
        <w:tc>
          <w:tcPr>
            <w:tcW w:w="3311" w:type="dxa"/>
            <w:vAlign w:val="top"/>
          </w:tcPr>
          <w:p>
            <w:pPr>
              <w:pStyle w:val="Normal"/>
              <w:spacing w:before="0" w:after="100"/>
              <w:rPr/>
            </w:pPr>
            <w:r>
              <w:rPr>
                <w:sz w:val="19.0"/>
                <w:szCs w:val="19.0"/>
              </w:rPr>
              <w:t xml:space="preserve">Liquid flow rate</w:t>
            </w:r>
          </w:p>
        </w:tc>
        <w:tc>
          <w:tcPr>
            <w:tcW w:w="1152" w:type="dxa"/>
            <w:vAlign w:val="top"/>
          </w:tcPr>
          <w:p>
            <w:pPr>
              <w:pStyle w:val="Normal"/>
              <w:spacing w:before="0" w:after="100"/>
              <w:rPr/>
            </w:pPr>
            <w:r>
              <w:rPr>
                <w:sz w:val="19.0"/>
                <w:szCs w:val="19.0"/>
              </w:rPr>
              <w:t xml:space="preserve">QL</w:t>
            </w:r>
          </w:p>
        </w:tc>
        <w:tc>
          <w:tcPr>
            <w:tcW w:w="2160" w:type="dxa"/>
            <w:vAlign w:val="top"/>
          </w:tcPr>
          <w:p>
            <w:pPr>
              <w:pStyle w:val="Normal"/>
              <w:spacing w:before="0" w:after="100"/>
              <w:rPr/>
            </w:pPr>
            <w:r>
              <w:rPr>
                <w:sz w:val="19.0"/>
                <w:szCs w:val="19.0"/>
              </w:rPr>
              <w:t xml:space="preserve">13.89</w:t>
            </w:r>
          </w:p>
        </w:tc>
        <w:tc>
          <w:tcPr>
            <w:tcW w:w="2736" w:type="dxa"/>
            <w:vAlign w:val="top"/>
          </w:tcPr>
          <w:p>
            <w:pPr>
              <w:pStyle w:val="Normal"/>
              <w:spacing w:before="0" w:after="100"/>
              <w:rPr/>
            </w:pPr>
            <w:r>
              <w:rPr>
                <w:sz w:val="19.0"/>
                <w:szCs w:val="19.0"/>
              </w:rPr>
              <w:t xml:space="preserve">cm3/s</w:t>
            </w:r>
          </w:p>
        </w:tc>
      </w:tr>
      <w:tr>
        <w:tc>
          <w:tcPr>
            <w:tcW w:w="3311" w:type="dxa"/>
            <w:vAlign w:val="top"/>
          </w:tcPr>
          <w:p>
            <w:pPr>
              <w:pStyle w:val="Normal"/>
              <w:spacing w:before="0" w:after="100"/>
              <w:shd w:val="clear" w:color="auto" w:fill="F7F9FF"/>
              <w:rPr/>
            </w:pPr>
            <w:r>
              <w:rPr>
                <w:sz w:val="19.0"/>
                <w:szCs w:val="19.0"/>
              </w:rPr>
              <w:t xml:space="preserve">Feed concentration</w:t>
            </w:r>
          </w:p>
        </w:tc>
        <w:tc>
          <w:tcPr>
            <w:tcW w:w="1152" w:type="dxa"/>
            <w:vAlign w:val="top"/>
          </w:tcPr>
          <w:p>
            <w:pPr>
              <w:pStyle w:val="Normal"/>
              <w:spacing w:before="0" w:after="100"/>
              <w:shd w:val="clear" w:color="auto" w:fill="F7F9FF"/>
              <w:rPr/>
            </w:pPr>
            <w:r>
              <w:rPr>
                <w:sz w:val="19.0"/>
                <w:szCs w:val="19.0"/>
              </w:rPr>
              <w:t xml:space="preserve">Cin</w:t>
            </w:r>
          </w:p>
        </w:tc>
        <w:tc>
          <w:tcPr>
            <w:tcW w:w="2160" w:type="dxa"/>
            <w:vAlign w:val="top"/>
          </w:tcPr>
          <w:p>
            <w:pPr>
              <w:pStyle w:val="Normal"/>
              <w:spacing w:before="0" w:after="100"/>
              <w:shd w:val="clear" w:color="auto" w:fill="F7F9FF"/>
              <w:rPr/>
            </w:pPr>
            <w:r>
              <w:rPr>
                <w:sz w:val="19.0"/>
                <w:szCs w:val="19.0"/>
              </w:rPr>
              <w:t xml:space="preserve">43.08</w:t>
            </w:r>
          </w:p>
        </w:tc>
        <w:tc>
          <w:tcPr>
            <w:tcW w:w="2736" w:type="dxa"/>
            <w:vAlign w:val="top"/>
          </w:tcPr>
          <w:p>
            <w:pPr>
              <w:pStyle w:val="Normal"/>
              <w:spacing w:before="0" w:after="100"/>
              <w:shd w:val="clear" w:color="auto" w:fill="F7F9FF"/>
              <w:rPr/>
            </w:pPr>
            <w:r>
              <w:rPr>
                <w:sz w:val="19.0"/>
                <w:szCs w:val="19.0"/>
              </w:rPr>
              <w:t xml:space="preserve">g/L citric acid</w:t>
            </w:r>
          </w:p>
        </w:tc>
      </w:tr>
      <w:tr>
        <w:tc>
          <w:tcPr>
            <w:tcW w:w="3311" w:type="dxa"/>
            <w:vAlign w:val="top"/>
          </w:tcPr>
          <w:p>
            <w:pPr>
              <w:pStyle w:val="Normal"/>
              <w:spacing w:before="0" w:after="100"/>
              <w:rPr/>
            </w:pPr>
            <w:r>
              <w:rPr>
                <w:sz w:val="19.0"/>
                <w:szCs w:val="19.0"/>
              </w:rPr>
              <w:t xml:space="preserve">Target recovery</w:t>
            </w:r>
          </w:p>
        </w:tc>
        <w:tc>
          <w:tcPr>
            <w:tcW w:w="1152" w:type="dxa"/>
            <w:vAlign w:val="top"/>
          </w:tcPr>
          <w:p>
            <w:pPr>
              <w:pStyle w:val="Normal"/>
              <w:spacing w:before="0" w:after="100"/>
              <w:rPr/>
            </w:pPr>
            <w:r>
              <w:rPr>
                <w:sz w:val="19.0"/>
                <w:szCs w:val="19.0"/>
              </w:rPr>
              <w:t xml:space="preserve">eta_target</w:t>
            </w:r>
          </w:p>
        </w:tc>
        <w:tc>
          <w:tcPr>
            <w:tcW w:w="2160" w:type="dxa"/>
            <w:vAlign w:val="top"/>
          </w:tcPr>
          <w:p>
            <w:pPr>
              <w:pStyle w:val="Normal"/>
              <w:spacing w:before="0" w:after="100"/>
              <w:rPr/>
            </w:pPr>
            <w:r>
              <w:rPr>
                <w:sz w:val="19.0"/>
                <w:szCs w:val="19.0"/>
              </w:rPr>
              <w:t xml:space="preserve">95</w:t>
            </w:r>
          </w:p>
        </w:tc>
        <w:tc>
          <w:tcPr>
            <w:tcW w:w="2736" w:type="dxa"/>
            <w:vAlign w:val="top"/>
          </w:tcPr>
          <w:p>
            <w:pPr>
              <w:pStyle w:val="Normal"/>
              <w:spacing w:before="0" w:after="100"/>
              <w:rPr/>
            </w:pPr>
            <w:r>
              <w:rPr>
                <w:sz w:val="19.0"/>
                <w:szCs w:val="19.0"/>
              </w:rPr>
              <w:t xml:space="preserve">%</w:t>
            </w:r>
          </w:p>
        </w:tc>
      </w:tr>
      <w:tr>
        <w:tc>
          <w:tcPr>
            <w:tcW w:w="3311" w:type="dxa"/>
            <w:vAlign w:val="top"/>
          </w:tcPr>
          <w:p>
            <w:pPr>
              <w:pStyle w:val="Normal"/>
              <w:spacing w:before="0" w:after="100"/>
              <w:shd w:val="clear" w:color="auto" w:fill="F7F9FF"/>
              <w:rPr/>
            </w:pPr>
            <w:r>
              <w:rPr>
                <w:sz w:val="19.0"/>
                <w:szCs w:val="19.0"/>
              </w:rPr>
              <w:t xml:space="preserve">Fiber inner diameter</w:t>
            </w:r>
          </w:p>
        </w:tc>
        <w:tc>
          <w:tcPr>
            <w:tcW w:w="1152" w:type="dxa"/>
            <w:vAlign w:val="top"/>
          </w:tcPr>
          <w:p>
            <w:pPr>
              <w:pStyle w:val="Normal"/>
              <w:spacing w:before="0" w:after="100"/>
              <w:shd w:val="clear" w:color="auto" w:fill="F7F9FF"/>
              <w:rPr/>
            </w:pPr>
            <w:r>
              <w:rPr>
                <w:sz w:val="19.0"/>
                <w:szCs w:val="19.0"/>
              </w:rPr>
              <w:t xml:space="preserve">di</w:t>
            </w:r>
          </w:p>
        </w:tc>
        <w:tc>
          <w:tcPr>
            <w:tcW w:w="2160" w:type="dxa"/>
            <w:vAlign w:val="top"/>
          </w:tcPr>
          <w:p>
            <w:pPr>
              <w:pStyle w:val="Normal"/>
              <w:spacing w:before="0" w:after="100"/>
              <w:shd w:val="clear" w:color="auto" w:fill="F7F9FF"/>
              <w:rPr/>
            </w:pPr>
            <w:r>
              <w:rPr>
                <w:sz w:val="19.0"/>
                <w:szCs w:val="19.0"/>
              </w:rPr>
              <w:t xml:space="preserve">0.04</w:t>
            </w:r>
          </w:p>
        </w:tc>
        <w:tc>
          <w:tcPr>
            <w:tcW w:w="2736" w:type="dxa"/>
            <w:vAlign w:val="top"/>
          </w:tcPr>
          <w:p>
            <w:pPr>
              <w:pStyle w:val="Normal"/>
              <w:spacing w:before="0" w:after="100"/>
              <w:shd w:val="clear" w:color="auto" w:fill="F7F9FF"/>
              <w:rPr/>
            </w:pPr>
            <w:r>
              <w:rPr>
                <w:sz w:val="19.0"/>
                <w:szCs w:val="19.0"/>
              </w:rPr>
              <w:t xml:space="preserve">cm</w:t>
            </w:r>
          </w:p>
        </w:tc>
      </w:tr>
      <w:tr>
        <w:tc>
          <w:tcPr>
            <w:tcW w:w="3311" w:type="dxa"/>
            <w:vAlign w:val="top"/>
          </w:tcPr>
          <w:p>
            <w:pPr>
              <w:pStyle w:val="Normal"/>
              <w:spacing w:before="0" w:after="100"/>
              <w:rPr/>
            </w:pPr>
            <w:r>
              <w:rPr>
                <w:sz w:val="19.0"/>
                <w:szCs w:val="19.0"/>
              </w:rPr>
              <w:t xml:space="preserve">Fiber outer diameter</w:t>
            </w:r>
          </w:p>
        </w:tc>
        <w:tc>
          <w:tcPr>
            <w:tcW w:w="1152" w:type="dxa"/>
            <w:vAlign w:val="top"/>
          </w:tcPr>
          <w:p>
            <w:pPr>
              <w:pStyle w:val="Normal"/>
              <w:spacing w:before="0" w:after="100"/>
              <w:rPr/>
            </w:pPr>
            <w:r>
              <w:rPr>
                <w:sz w:val="19.0"/>
                <w:szCs w:val="19.0"/>
              </w:rPr>
              <w:t xml:space="preserve">do</w:t>
            </w:r>
          </w:p>
        </w:tc>
        <w:tc>
          <w:tcPr>
            <w:tcW w:w="2160" w:type="dxa"/>
            <w:vAlign w:val="top"/>
          </w:tcPr>
          <w:p>
            <w:pPr>
              <w:pStyle w:val="Normal"/>
              <w:spacing w:before="0" w:after="100"/>
              <w:rPr/>
            </w:pPr>
            <w:r>
              <w:rPr>
                <w:sz w:val="19.0"/>
                <w:szCs w:val="19.0"/>
              </w:rPr>
              <w:t xml:space="preserve">0.046</w:t>
            </w:r>
          </w:p>
        </w:tc>
        <w:tc>
          <w:tcPr>
            <w:tcW w:w="2736" w:type="dxa"/>
            <w:vAlign w:val="top"/>
          </w:tcPr>
          <w:p>
            <w:pPr>
              <w:pStyle w:val="Normal"/>
              <w:spacing w:before="0" w:after="100"/>
              <w:rPr/>
            </w:pPr>
            <w:r>
              <w:rPr>
                <w:sz w:val="19.0"/>
                <w:szCs w:val="19.0"/>
              </w:rPr>
              <w:t xml:space="preserve">cm</w:t>
            </w:r>
          </w:p>
        </w:tc>
      </w:tr>
      <w:tr>
        <w:tc>
          <w:tcPr>
            <w:tcW w:w="3311" w:type="dxa"/>
            <w:vAlign w:val="top"/>
          </w:tcPr>
          <w:p>
            <w:pPr>
              <w:pStyle w:val="Normal"/>
              <w:spacing w:before="0" w:after="100"/>
              <w:shd w:val="clear" w:color="auto" w:fill="F7F9FF"/>
              <w:rPr/>
            </w:pPr>
            <w:r>
              <w:rPr>
                <w:sz w:val="19.0"/>
                <w:szCs w:val="19.0"/>
              </w:rPr>
              <w:t xml:space="preserve">Wall thickness</w:t>
            </w:r>
          </w:p>
        </w:tc>
        <w:tc>
          <w:tcPr>
            <w:tcW w:w="1152" w:type="dxa"/>
            <w:vAlign w:val="top"/>
          </w:tcPr>
          <w:p>
            <w:pPr>
              <w:pStyle w:val="Normal"/>
              <w:spacing w:before="0" w:after="100"/>
              <w:shd w:val="clear" w:color="auto" w:fill="F7F9FF"/>
              <w:rPr/>
            </w:pPr>
            <w:r>
              <w:rPr>
                <w:sz w:val="19.0"/>
                <w:szCs w:val="19.0"/>
              </w:rPr>
              <w:t xml:space="preserve">tw</w:t>
            </w:r>
          </w:p>
        </w:tc>
        <w:tc>
          <w:tcPr>
            <w:tcW w:w="2160" w:type="dxa"/>
            <w:vAlign w:val="top"/>
          </w:tcPr>
          <w:p>
            <w:pPr>
              <w:pStyle w:val="Normal"/>
              <w:spacing w:before="0" w:after="100"/>
              <w:shd w:val="clear" w:color="auto" w:fill="F7F9FF"/>
              <w:rPr/>
            </w:pPr>
            <w:r>
              <w:rPr>
                <w:sz w:val="19.0"/>
                <w:szCs w:val="19.0"/>
              </w:rPr>
              <w:t xml:space="preserve">0.003</w:t>
            </w:r>
          </w:p>
        </w:tc>
        <w:tc>
          <w:tcPr>
            <w:tcW w:w="2736" w:type="dxa"/>
            <w:vAlign w:val="top"/>
          </w:tcPr>
          <w:p>
            <w:pPr>
              <w:pStyle w:val="Normal"/>
              <w:spacing w:before="0" w:after="100"/>
              <w:shd w:val="clear" w:color="auto" w:fill="F7F9FF"/>
              <w:rPr/>
            </w:pPr>
            <w:r>
              <w:rPr>
                <w:sz w:val="19.0"/>
                <w:szCs w:val="19.0"/>
              </w:rPr>
              <w:t xml:space="preserve">cm</w:t>
            </w:r>
          </w:p>
        </w:tc>
      </w:tr>
      <w:tr>
        <w:tc>
          <w:tcPr>
            <w:tcW w:w="3311" w:type="dxa"/>
            <w:vAlign w:val="top"/>
          </w:tcPr>
          <w:p>
            <w:pPr>
              <w:pStyle w:val="Normal"/>
              <w:spacing w:before="0" w:after="100"/>
              <w:rPr/>
            </w:pPr>
            <w:r>
              <w:rPr>
                <w:sz w:val="19.0"/>
                <w:szCs w:val="19.0"/>
              </w:rPr>
              <w:t xml:space="preserve">Membrane porosity</w:t>
            </w:r>
          </w:p>
        </w:tc>
        <w:tc>
          <w:tcPr>
            <w:tcW w:w="1152" w:type="dxa"/>
            <w:vAlign w:val="top"/>
          </w:tcPr>
          <w:p>
            <w:pPr>
              <w:pStyle w:val="Normal"/>
              <w:spacing w:before="0" w:after="100"/>
              <w:rPr/>
            </w:pPr>
            <w:r>
              <w:rPr>
                <w:sz w:val="19.0"/>
                <w:szCs w:val="19.0"/>
              </w:rPr>
              <w:t xml:space="preserve">eps</w:t>
            </w:r>
          </w:p>
        </w:tc>
        <w:tc>
          <w:tcPr>
            <w:tcW w:w="2160" w:type="dxa"/>
            <w:vAlign w:val="top"/>
          </w:tcPr>
          <w:p>
            <w:pPr>
              <w:pStyle w:val="Normal"/>
              <w:spacing w:before="0" w:after="100"/>
              <w:rPr/>
            </w:pPr>
            <w:r>
              <w:rPr>
                <w:sz w:val="19.0"/>
                <w:szCs w:val="19.0"/>
              </w:rPr>
              <w:t xml:space="preserve">33</w:t>
            </w:r>
          </w:p>
        </w:tc>
        <w:tc>
          <w:tcPr>
            <w:tcW w:w="2736" w:type="dxa"/>
            <w:vAlign w:val="top"/>
          </w:tcPr>
          <w:p>
            <w:pPr>
              <w:pStyle w:val="Normal"/>
              <w:spacing w:before="0" w:after="100"/>
              <w:rPr/>
            </w:pPr>
            <w:r>
              <w:rPr>
                <w:sz w:val="19.0"/>
                <w:szCs w:val="19.0"/>
              </w:rPr>
              <w:t xml:space="preserve">%  (pore size 300 Angstroms)</w:t>
            </w:r>
          </w:p>
        </w:tc>
      </w:tr>
      <w:tr>
        <w:tc>
          <w:tcPr>
            <w:tcW w:w="3311" w:type="dxa"/>
            <w:vAlign w:val="top"/>
          </w:tcPr>
          <w:p>
            <w:pPr>
              <w:pStyle w:val="Normal"/>
              <w:spacing w:before="0" w:after="100"/>
              <w:shd w:val="clear" w:color="auto" w:fill="F7F9FF"/>
              <w:rPr/>
            </w:pPr>
            <w:r>
              <w:rPr>
                <w:sz w:val="19.0"/>
                <w:szCs w:val="19.0"/>
              </w:rPr>
              <w:t xml:space="preserve">Module length</w:t>
            </w:r>
          </w:p>
        </w:tc>
        <w:tc>
          <w:tcPr>
            <w:tcW w:w="1152" w:type="dxa"/>
            <w:vAlign w:val="top"/>
          </w:tcPr>
          <w:p>
            <w:pPr>
              <w:pStyle w:val="Normal"/>
              <w:spacing w:before="0" w:after="100"/>
              <w:shd w:val="clear" w:color="auto" w:fill="F7F9FF"/>
              <w:rPr/>
            </w:pPr>
            <w:r>
              <w:rPr>
                <w:sz w:val="19.0"/>
                <w:szCs w:val="19.0"/>
              </w:rPr>
              <w:t xml:space="preserve">L</w:t>
            </w:r>
          </w:p>
        </w:tc>
        <w:tc>
          <w:tcPr>
            <w:tcW w:w="2160" w:type="dxa"/>
            <w:vAlign w:val="top"/>
          </w:tcPr>
          <w:p>
            <w:pPr>
              <w:pStyle w:val="Normal"/>
              <w:spacing w:before="0" w:after="100"/>
              <w:shd w:val="clear" w:color="auto" w:fill="F7F9FF"/>
              <w:rPr/>
            </w:pPr>
            <w:r>
              <w:rPr>
                <w:sz w:val="19.0"/>
                <w:szCs w:val="19.0"/>
              </w:rPr>
              <w:t xml:space="preserve">30</w:t>
            </w:r>
          </w:p>
        </w:tc>
        <w:tc>
          <w:tcPr>
            <w:tcW w:w="2736" w:type="dxa"/>
            <w:vAlign w:val="top"/>
          </w:tcPr>
          <w:p>
            <w:pPr>
              <w:pStyle w:val="Normal"/>
              <w:spacing w:before="0" w:after="100"/>
              <w:shd w:val="clear" w:color="auto" w:fill="F7F9FF"/>
              <w:rPr/>
            </w:pPr>
            <w:r>
              <w:rPr>
                <w:sz w:val="19.0"/>
                <w:szCs w:val="19.0"/>
              </w:rPr>
              <w:t xml:space="preserve">cm</w:t>
            </w:r>
          </w:p>
        </w:tc>
      </w:tr>
      <w:tr>
        <w:tc>
          <w:tcPr>
            <w:tcW w:w="3311" w:type="dxa"/>
            <w:vAlign w:val="top"/>
          </w:tcPr>
          <w:p>
            <w:pPr>
              <w:pStyle w:val="Normal"/>
              <w:spacing w:before="0" w:after="100"/>
              <w:rPr/>
            </w:pPr>
            <w:r>
              <w:rPr>
                <w:sz w:val="19.0"/>
                <w:szCs w:val="19.0"/>
              </w:rPr>
              <w:t xml:space="preserve">Fibers per module</w:t>
            </w:r>
          </w:p>
        </w:tc>
        <w:tc>
          <w:tcPr>
            <w:tcW w:w="1152" w:type="dxa"/>
            <w:vAlign w:val="top"/>
          </w:tcPr>
          <w:p>
            <w:pPr>
              <w:pStyle w:val="Normal"/>
              <w:spacing w:before="0" w:after="100"/>
              <w:rPr/>
            </w:pPr>
            <w:r>
              <w:rPr>
                <w:sz w:val="19.0"/>
                <w:szCs w:val="19.0"/>
              </w:rPr>
              <w:t xml:space="preserve">N</w:t>
            </w:r>
          </w:p>
        </w:tc>
        <w:tc>
          <w:tcPr>
            <w:tcW w:w="2160" w:type="dxa"/>
            <w:vAlign w:val="top"/>
          </w:tcPr>
          <w:p>
            <w:pPr>
              <w:pStyle w:val="Normal"/>
              <w:spacing w:before="0" w:after="100"/>
              <w:rPr/>
            </w:pPr>
            <w:r>
              <w:rPr>
                <w:sz w:val="19.0"/>
                <w:szCs w:val="19.0"/>
              </w:rPr>
              <w:t xml:space="preserve">2,000</w:t>
            </w:r>
          </w:p>
        </w:tc>
        <w:tc>
          <w:tcPr>
            <w:tcW w:w="2736" w:type="dxa"/>
            <w:vAlign w:val="top"/>
          </w:tcPr>
          <w:p>
            <w:pPr>
              <w:pStyle w:val="Normal"/>
              <w:spacing w:before="0" w:after="100"/>
              <w:rPr/>
            </w:pPr>
            <w:r>
              <w:rPr>
                <w:sz w:val="19.0"/>
                <w:szCs w:val="19.0"/>
              </w:rPr>
              <w:t xml:space="preserve">--</w:t>
            </w:r>
          </w:p>
        </w:tc>
      </w:tr>
      <w:tr>
        <w:tc>
          <w:tcPr>
            <w:tcW w:w="3311" w:type="dxa"/>
            <w:vAlign w:val="top"/>
          </w:tcPr>
          <w:p>
            <w:pPr>
              <w:pStyle w:val="Normal"/>
              <w:spacing w:before="0" w:after="100"/>
              <w:shd w:val="clear" w:color="auto" w:fill="F7F9FF"/>
              <w:rPr/>
            </w:pPr>
            <w:r>
              <w:rPr>
                <w:sz w:val="19.0"/>
                <w:szCs w:val="19.0"/>
              </w:rPr>
              <w:t xml:space="preserve">Membrane material</w:t>
            </w:r>
          </w:p>
        </w:tc>
        <w:tc>
          <w:tcPr>
            <w:tcW w:w="1152" w:type="dxa"/>
            <w:vAlign w:val="top"/>
          </w:tcPr>
          <w:p>
            <w:pPr>
              <w:pStyle w:val="Normal"/>
              <w:spacing w:before="0" w:after="100"/>
              <w:shd w:val="clear" w:color="auto" w:fill="F7F9FF"/>
              <w:rPr/>
            </w:pPr>
            <w:r>
              <w:rPr>
                <w:sz w:val="19.0"/>
                <w:szCs w:val="19.0"/>
              </w:rPr>
              <w:t xml:space="preserve">--</w:t>
            </w:r>
          </w:p>
        </w:tc>
        <w:tc>
          <w:tcPr>
            <w:tcW w:w="2160" w:type="dxa"/>
            <w:vAlign w:val="top"/>
          </w:tcPr>
          <w:p>
            <w:pPr>
              <w:pStyle w:val="Normal"/>
              <w:spacing w:before="0" w:after="100"/>
              <w:shd w:val="clear" w:color="auto" w:fill="F7F9FF"/>
              <w:rPr/>
            </w:pPr>
            <w:r>
              <w:rPr>
                <w:sz w:val="19.0"/>
                <w:szCs w:val="19.0"/>
              </w:rPr>
              <w:t xml:space="preserve">Polypropylene (hydrophobic)</w:t>
            </w:r>
          </w:p>
        </w:tc>
        <w:tc>
          <w:tcPr>
            <w:tcW w:w="2736" w:type="dxa"/>
            <w:vAlign w:val="top"/>
          </w:tcPr>
          <w:p>
            <w:pPr>
              <w:pStyle w:val="Normal"/>
              <w:spacing w:before="0" w:after="100"/>
              <w:shd w:val="clear" w:color="auto" w:fill="F7F9FF"/>
              <w:rPr/>
            </w:pPr>
            <w:r>
              <w:rPr>
                <w:sz w:val="19.0"/>
                <w:szCs w:val="19.0"/>
              </w:rPr>
              <w:t xml:space="preserve">--</w:t>
            </w:r>
          </w:p>
        </w:tc>
      </w:tr>
      <w:tr>
        <w:tc>
          <w:tcPr>
            <w:tcW w:w="3311" w:type="dxa"/>
            <w:vAlign w:val="top"/>
          </w:tcPr>
          <w:p>
            <w:pPr>
              <w:pStyle w:val="Normal"/>
              <w:spacing w:before="0" w:after="100"/>
              <w:rPr/>
            </w:pPr>
            <w:r>
              <w:rPr>
                <w:sz w:val="19.0"/>
                <w:szCs w:val="19.0"/>
              </w:rPr>
              <w:t xml:space="preserve">Extracting solvent</w:t>
            </w:r>
          </w:p>
        </w:tc>
        <w:tc>
          <w:tcPr>
            <w:tcW w:w="1152" w:type="dxa"/>
            <w:vAlign w:val="top"/>
          </w:tcPr>
          <w:p>
            <w:pPr>
              <w:pStyle w:val="Normal"/>
              <w:spacing w:before="0" w:after="100"/>
              <w:rPr/>
            </w:pPr>
            <w:r>
              <w:rPr>
                <w:sz w:val="19.0"/>
                <w:szCs w:val="19.0"/>
              </w:rPr>
              <w:t xml:space="preserve">--</w:t>
            </w:r>
          </w:p>
        </w:tc>
        <w:tc>
          <w:tcPr>
            <w:tcW w:w="2160" w:type="dxa"/>
            <w:vAlign w:val="top"/>
          </w:tcPr>
          <w:p>
            <w:pPr>
              <w:pStyle w:val="Normal"/>
              <w:spacing w:before="0" w:after="100"/>
              <w:rPr/>
            </w:pPr>
            <w:r>
              <w:rPr>
                <w:sz w:val="19.0"/>
                <w:szCs w:val="19.0"/>
              </w:rPr>
              <w:t xml:space="preserve">20% Alamine 336 in n-heptane</w:t>
            </w:r>
          </w:p>
        </w:tc>
        <w:tc>
          <w:tcPr>
            <w:tcW w:w="2736" w:type="dxa"/>
            <w:vAlign w:val="top"/>
          </w:tcPr>
          <w:p>
            <w:pPr>
              <w:pStyle w:val="Normal"/>
              <w:spacing w:before="0" w:after="100"/>
              <w:rPr/>
            </w:pPr>
            <w:r>
              <w:rPr>
                <w:sz w:val="19.0"/>
                <w:szCs w:val="19.0"/>
              </w:rPr>
              <w:t xml:space="preserve">--</w:t>
            </w:r>
          </w:p>
        </w:tc>
      </w:tr>
      <w:tr>
        <w:tc>
          <w:tcPr>
            <w:tcW w:w="3311" w:type="dxa"/>
            <w:vAlign w:val="top"/>
          </w:tcPr>
          <w:p>
            <w:pPr>
              <w:pStyle w:val="Normal"/>
              <w:spacing w:before="0" w:after="100"/>
              <w:shd w:val="clear" w:color="auto" w:fill="F7F9FF"/>
              <w:rPr/>
            </w:pPr>
            <w:r>
              <w:rPr>
                <w:sz w:val="19.0"/>
                <w:szCs w:val="19.0"/>
              </w:rPr>
              <w:t xml:space="preserve">Operating temperature</w:t>
            </w:r>
          </w:p>
        </w:tc>
        <w:tc>
          <w:tcPr>
            <w:tcW w:w="1152" w:type="dxa"/>
            <w:vAlign w:val="top"/>
          </w:tcPr>
          <w:p>
            <w:pPr>
              <w:pStyle w:val="Normal"/>
              <w:spacing w:before="0" w:after="100"/>
              <w:shd w:val="clear" w:color="auto" w:fill="F7F9FF"/>
              <w:rPr/>
            </w:pPr>
            <w:r>
              <w:rPr>
                <w:sz w:val="19.0"/>
                <w:szCs w:val="19.0"/>
              </w:rPr>
              <w:t xml:space="preserve">T</w:t>
            </w:r>
          </w:p>
        </w:tc>
        <w:tc>
          <w:tcPr>
            <w:tcW w:w="2160" w:type="dxa"/>
            <w:vAlign w:val="top"/>
          </w:tcPr>
          <w:p>
            <w:pPr>
              <w:pStyle w:val="Normal"/>
              <w:spacing w:before="0" w:after="100"/>
              <w:shd w:val="clear" w:color="auto" w:fill="F7F9FF"/>
              <w:rPr/>
            </w:pPr>
            <w:r>
              <w:rPr>
                <w:sz w:val="19.0"/>
                <w:szCs w:val="19.0"/>
              </w:rPr>
              <w:t xml:space="preserve">30</w:t>
            </w:r>
          </w:p>
        </w:tc>
        <w:tc>
          <w:tcPr>
            <w:tcW w:w="2736" w:type="dxa"/>
            <w:vAlign w:val="top"/>
          </w:tcPr>
          <w:p>
            <w:pPr>
              <w:pStyle w:val="Normal"/>
              <w:spacing w:before="0" w:after="100"/>
              <w:shd w:val="clear" w:color="auto" w:fill="F7F9FF"/>
              <w:rPr/>
            </w:pPr>
            <w:r>
              <w:rPr>
                <w:sz w:val="19.0"/>
                <w:szCs w:val="19.0"/>
              </w:rPr>
              <w:t xml:space="preserve">degrees C</w:t>
            </w:r>
          </w:p>
        </w:tc>
      </w:tr>
      <w:tr>
        <w:tc>
          <w:tcPr>
            <w:tcW w:w="3311" w:type="dxa"/>
            <w:vAlign w:val="top"/>
          </w:tcPr>
          <w:p>
            <w:pPr>
              <w:pStyle w:val="Normal"/>
              <w:spacing w:before="0" w:after="100"/>
              <w:rPr/>
            </w:pPr>
            <w:r>
              <w:rPr>
                <w:sz w:val="19.0"/>
                <w:szCs w:val="19.0"/>
              </w:rPr>
              <w:t xml:space="preserve">Citric acid diffusivity</w:t>
            </w:r>
          </w:p>
        </w:tc>
        <w:tc>
          <w:tcPr>
            <w:tcW w:w="1152" w:type="dxa"/>
            <w:vAlign w:val="top"/>
          </w:tcPr>
          <w:p>
            <w:pPr>
              <w:pStyle w:val="Normal"/>
              <w:spacing w:before="0" w:after="100"/>
              <w:rPr/>
            </w:pPr>
            <w:r>
              <w:rPr>
                <w:sz w:val="19.0"/>
                <w:szCs w:val="19.0"/>
              </w:rPr>
              <w:t xml:space="preserve">D</w:t>
            </w:r>
          </w:p>
        </w:tc>
        <w:tc>
          <w:tcPr>
            <w:tcW w:w="2160" w:type="dxa"/>
            <w:vAlign w:val="top"/>
          </w:tcPr>
          <w:p>
            <w:pPr>
              <w:pStyle w:val="Normal"/>
              <w:spacing w:before="0" w:after="100"/>
              <w:rPr/>
            </w:pPr>
            <w:r>
              <w:rPr>
                <w:sz w:val="19.0"/>
                <w:szCs w:val="19.0"/>
              </w:rPr>
              <w:t xml:space="preserve">7.0e-06</w:t>
            </w:r>
          </w:p>
        </w:tc>
        <w:tc>
          <w:tcPr>
            <w:tcW w:w="2736" w:type="dxa"/>
            <w:vAlign w:val="top"/>
          </w:tcPr>
          <w:p>
            <w:pPr>
              <w:pStyle w:val="Normal"/>
              <w:spacing w:before="0" w:after="100"/>
              <w:rPr/>
            </w:pPr>
            <w:r>
              <w:rPr>
                <w:sz w:val="19.0"/>
                <w:szCs w:val="19.0"/>
              </w:rPr>
              <w:t xml:space="preserve">cm2/s</w:t>
            </w:r>
          </w:p>
        </w:tc>
      </w:tr>
      <w:tr>
        <w:tc>
          <w:tcPr>
            <w:tcW w:w="3311" w:type="dxa"/>
            <w:vAlign w:val="top"/>
          </w:tcPr>
          <w:p>
            <w:pPr>
              <w:pStyle w:val="Normal"/>
              <w:spacing w:before="0" w:after="100"/>
              <w:shd w:val="clear" w:color="auto" w:fill="F7F9FF"/>
              <w:rPr/>
            </w:pPr>
            <w:r>
              <w:rPr>
                <w:sz w:val="19.0"/>
                <w:szCs w:val="19.0"/>
              </w:rPr>
              <w:t xml:space="preserve">Broth viscosity</w:t>
            </w:r>
          </w:p>
        </w:tc>
        <w:tc>
          <w:tcPr>
            <w:tcW w:w="1152" w:type="dxa"/>
            <w:vAlign w:val="top"/>
          </w:tcPr>
          <w:p>
            <w:pPr>
              <w:pStyle w:val="Normal"/>
              <w:spacing w:before="0" w:after="100"/>
              <w:shd w:val="clear" w:color="auto" w:fill="F7F9FF"/>
              <w:rPr/>
            </w:pPr>
            <w:r>
              <w:rPr>
                <w:sz w:val="19.0"/>
                <w:szCs w:val="19.0"/>
              </w:rPr>
              <w:t xml:space="preserve">mu</w:t>
            </w:r>
          </w:p>
        </w:tc>
        <w:tc>
          <w:tcPr>
            <w:tcW w:w="2160" w:type="dxa"/>
            <w:vAlign w:val="top"/>
          </w:tcPr>
          <w:p>
            <w:pPr>
              <w:pStyle w:val="Normal"/>
              <w:spacing w:before="0" w:after="100"/>
              <w:shd w:val="clear" w:color="auto" w:fill="F7F9FF"/>
              <w:rPr/>
            </w:pPr>
            <w:r>
              <w:rPr>
                <w:sz w:val="19.0"/>
                <w:szCs w:val="19.0"/>
              </w:rPr>
              <w:t xml:space="preserve">0.012</w:t>
            </w:r>
          </w:p>
        </w:tc>
        <w:tc>
          <w:tcPr>
            <w:tcW w:w="2736" w:type="dxa"/>
            <w:vAlign w:val="top"/>
          </w:tcPr>
          <w:p>
            <w:pPr>
              <w:pStyle w:val="Normal"/>
              <w:spacing w:before="0" w:after="100"/>
              <w:shd w:val="clear" w:color="auto" w:fill="F7F9FF"/>
              <w:rPr/>
            </w:pPr>
            <w:r>
              <w:rPr>
                <w:sz w:val="19.0"/>
                <w:szCs w:val="19.0"/>
              </w:rPr>
              <w:t xml:space="preserve">g/(cm s)  [1.2 cP]</w:t>
            </w:r>
          </w:p>
        </w:tc>
      </w:tr>
      <w:tr>
        <w:tc>
          <w:tcPr>
            <w:tcW w:w="3311" w:type="dxa"/>
            <w:vAlign w:val="top"/>
          </w:tcPr>
          <w:p>
            <w:pPr>
              <w:pStyle w:val="Normal"/>
              <w:spacing w:before="0" w:after="100"/>
              <w:rPr/>
            </w:pPr>
            <w:r>
              <w:rPr>
                <w:sz w:val="19.0"/>
                <w:szCs w:val="19.0"/>
              </w:rPr>
              <w:t xml:space="preserve">Broth density</w:t>
            </w:r>
          </w:p>
        </w:tc>
        <w:tc>
          <w:tcPr>
            <w:tcW w:w="1152" w:type="dxa"/>
            <w:vAlign w:val="top"/>
          </w:tcPr>
          <w:p>
            <w:pPr>
              <w:pStyle w:val="Normal"/>
              <w:spacing w:before="0" w:after="100"/>
              <w:rPr/>
            </w:pPr>
            <w:r>
              <w:rPr>
                <w:sz w:val="19.0"/>
                <w:szCs w:val="19.0"/>
              </w:rPr>
              <w:t xml:space="preserve">rho</w:t>
            </w:r>
          </w:p>
        </w:tc>
        <w:tc>
          <w:tcPr>
            <w:tcW w:w="2160" w:type="dxa"/>
            <w:vAlign w:val="top"/>
          </w:tcPr>
          <w:p>
            <w:pPr>
              <w:pStyle w:val="Normal"/>
              <w:spacing w:before="0" w:after="100"/>
              <w:rPr/>
            </w:pPr>
            <w:r>
              <w:rPr>
                <w:sz w:val="19.0"/>
                <w:szCs w:val="19.0"/>
              </w:rPr>
              <w:t xml:space="preserve">1.02</w:t>
            </w:r>
          </w:p>
        </w:tc>
        <w:tc>
          <w:tcPr>
            <w:tcW w:w="2736" w:type="dxa"/>
            <w:vAlign w:val="top"/>
          </w:tcPr>
          <w:p>
            <w:pPr>
              <w:pStyle w:val="Normal"/>
              <w:spacing w:before="0" w:after="100"/>
              <w:rPr/>
            </w:pPr>
            <w:r>
              <w:rPr>
                <w:sz w:val="19.0"/>
                <w:szCs w:val="19.0"/>
              </w:rPr>
              <w:t xml:space="preserve">g/cm3</w:t>
            </w:r>
          </w:p>
        </w:tc>
      </w:tr>
    </w:tbl>
    <w:p>
      <w:pPr>
        <w:pStyle w:val="Normal"/>
        <w:spacing w:before="200" w:after="80"/>
        <w:rPr/>
      </w:pPr>
      <w:r>
        <w:rPr>
          <w:sz w:val="24"/>
          <w:szCs w:val="24"/>
          <w:b/>
          <w:bCs/>
          <w:color w:val="1A4D8F"/>
        </w:rPr>
        <w:t xml:space="preserve">5.2  Step-by-Step Mass Transfer Coefficient Calculation</w:t>
      </w:r>
    </w:p>
    <w:p>
      <w:pPr>
        <w:pStyle w:val="Normal"/>
        <w:spacing w:before="160" w:after="60"/>
        <w:rPr/>
      </w:pPr>
      <w:r>
        <w:rPr>
          <w:sz w:val="22"/>
          <w:szCs w:val="22"/>
          <w:b/>
          <w:bCs/>
          <w:i/>
          <w:iCs/>
          <w:color w:val="1A4D8F"/>
        </w:rPr>
        <w:t xml:space="preserve">Step 1: Cross-Sectional Area and Liquid Velocity</w:t>
      </w:r>
    </w:p>
    <w:p>
      <w:pPr>
        <w:pStyle w:val="Normal"/>
        <w:jc w:val="center"/>
        <w:spacing w:before="80" w:after="80"/>
        <w:shd w:val="clear" w:color="auto" w:fill="F0F4FF"/>
        <w:rPr/>
      </w:pPr>
      <w:r>
        <w:rPr>
          <w:rFonts w:ascii="Courier New" w:hAnsi="Courier New" w:cs="Courier New"/>
          <w:sz w:val="20"/>
          <w:szCs w:val="20"/>
          <w:color w:val="1A237E"/>
        </w:rPr>
        <w:t xml:space="preserve">A_cross = N * pi * (di/2)^2 = 2000*pi*(0.02)^2 = 2.5133 cm2  [Eq. 10]</w:t>
      </w:r>
    </w:p>
    <w:p>
      <w:pPr>
        <w:pStyle w:val="Normal"/>
        <w:jc w:val="center"/>
        <w:spacing w:before="80" w:after="80"/>
        <w:shd w:val="clear" w:color="auto" w:fill="F0F4FF"/>
        <w:rPr/>
      </w:pPr>
      <w:r>
        <w:rPr>
          <w:rFonts w:ascii="Courier New" w:hAnsi="Courier New" w:cs="Courier New"/>
          <w:sz w:val="20"/>
          <w:szCs w:val="20"/>
          <w:color w:val="1A237E"/>
        </w:rPr>
        <w:t xml:space="preserve">VL = QL / A_cross = 13.89 / 2.5133 = 5.53 cm/s    [Eq. 11]</w:t>
      </w:r>
    </w:p>
    <w:p>
      <w:pPr>
        <w:pStyle w:val="Normal"/>
        <w:spacing w:before="160" w:after="60"/>
        <w:rPr/>
      </w:pPr>
      <w:r>
        <w:rPr>
          <w:sz w:val="22"/>
          <w:szCs w:val="22"/>
          <w:b/>
          <w:bCs/>
          <w:i/>
          <w:iCs/>
          <w:color w:val="1A4D8F"/>
        </w:rPr>
        <w:t xml:space="preserve">Step 2: Dimensionless Groups</w:t>
      </w:r>
    </w:p>
    <w:p>
      <w:pPr>
        <w:pStyle w:val="Normal"/>
        <w:jc w:val="center"/>
        <w:spacing w:before="80" w:after="80"/>
        <w:shd w:val="clear" w:color="auto" w:fill="F0F4FF"/>
        <w:rPr/>
      </w:pPr>
      <w:r>
        <w:rPr>
          <w:rFonts w:ascii="Courier New" w:hAnsi="Courier New" w:cs="Courier New"/>
          <w:sz w:val="20"/>
          <w:szCs w:val="20"/>
          <w:color w:val="1A237E"/>
        </w:rPr>
        <w:t xml:space="preserve">Re = rho*VL*di/mu = (1.02 x 5.53 x 0.04) / 0.012 = 18.8  (laminar)  [Eq. 12]</w:t>
      </w:r>
    </w:p>
    <w:p>
      <w:pPr>
        <w:pStyle w:val="Normal"/>
        <w:jc w:val="center"/>
        <w:spacing w:before="80" w:after="80"/>
        <w:shd w:val="clear" w:color="auto" w:fill="F0F4FF"/>
        <w:rPr/>
      </w:pPr>
      <w:r>
        <w:rPr>
          <w:rFonts w:ascii="Courier New" w:hAnsi="Courier New" w:cs="Courier New"/>
          <w:sz w:val="20"/>
          <w:szCs w:val="20"/>
          <w:color w:val="1A237E"/>
        </w:rPr>
        <w:t xml:space="preserve">Sc = mu/(rho*D) = 0.012 / (1.02 x 7.0e-6) = 1681              [Eq. 13]</w:t>
      </w:r>
    </w:p>
    <w:p>
      <w:pPr>
        <w:pStyle w:val="Normal"/>
        <w:jc w:val="center"/>
        <w:spacing w:before="80" w:after="80"/>
        <w:shd w:val="clear" w:color="auto" w:fill="F0F4FF"/>
        <w:rPr/>
      </w:pPr>
      <w:r>
        <w:rPr>
          <w:rFonts w:ascii="Courier New" w:hAnsi="Courier New" w:cs="Courier New"/>
          <w:sz w:val="20"/>
          <w:szCs w:val="20"/>
          <w:color w:val="1A237E"/>
        </w:rPr>
        <w:t xml:space="preserve">Gz = Re*Sc*(di/L) = 18.8*1681*(0.04/30) = 42.10            [Eq. 14]</w:t>
      </w:r>
    </w:p>
    <w:p>
      <w:pPr>
        <w:pStyle w:val="Normal"/>
        <w:spacing w:before="160" w:after="60"/>
        <w:rPr/>
      </w:pPr>
      <w:r>
        <w:rPr>
          <w:sz w:val="22"/>
          <w:szCs w:val="22"/>
          <w:b/>
          <w:bCs/>
          <w:i/>
          <w:iCs/>
          <w:color w:val="1A4D8F"/>
        </w:rPr>
        <w:t xml:space="preserve">Step 3: Sherwood Number and KL</w:t>
      </w:r>
    </w:p>
    <w:p>
      <w:pPr>
        <w:pStyle w:val="Normal"/>
        <w:jc w:val="center"/>
        <w:spacing w:before="80" w:after="80"/>
        <w:shd w:val="clear" w:color="auto" w:fill="F0F4FF"/>
        <w:rPr/>
      </w:pPr>
      <w:r>
        <w:rPr>
          <w:rFonts w:ascii="Courier New" w:hAnsi="Courier New" w:cs="Courier New"/>
          <w:sz w:val="20"/>
          <w:szCs w:val="20"/>
          <w:color w:val="1A237E"/>
        </w:rPr>
        <w:t xml:space="preserve">Sh = 1.86 * Gz^(1/3) = 1.86 * (42.10)^(1/3) = 6.47            [Eq. 15]</w:t>
      </w:r>
    </w:p>
    <w:p>
      <w:pPr>
        <w:pStyle w:val="Normal"/>
        <w:jc w:val="center"/>
        <w:spacing w:before="80" w:after="80"/>
        <w:shd w:val="clear" w:color="auto" w:fill="F0F4FF"/>
        <w:rPr/>
      </w:pPr>
      <w:r>
        <w:rPr>
          <w:rFonts w:ascii="Courier New" w:hAnsi="Courier New" w:cs="Courier New"/>
          <w:sz w:val="20"/>
          <w:szCs w:val="20"/>
          <w:color w:val="1A237E"/>
        </w:rPr>
        <w:t xml:space="preserve">KL = Sh * D / di = 6.47 * 7.0e-6 / 0.04 = 1.1324e-03 cm/s         [Eq. 16]</w:t>
      </w:r>
    </w:p>
    <w:p>
      <w:pPr>
        <w:pStyle w:val="Normal"/>
        <w:spacing w:before="0" w:after="100"/>
        <w:rPr/>
      </w:pPr>
      <w:r>
        <w:rPr>
          <w:sz w:val="22"/>
          <w:szCs w:val="22"/>
        </w:rPr>
        <w:t xml:space="preserve">Figure 1 below shows the Sieder-Tate Sh-Gz correlation with the pilot design point marked. The design point (Gz = 42.1, Sh = 6.47) falls on the theoretical line, confirming validity of the laminar-flow mass transfer model.</w:t>
      </w:r>
    </w:p>
    <w:p>
      <w:pPr>
        <w:jc w:val="center"/>
        <w:spacing w:after="60"/>
      </w:pPr>
      <w:r>
        <w:drawing>
          <wp:inline xmlns:wp="http://schemas.openxmlformats.org/drawingml/2006/wordprocessingDrawing" distT="0" distB="0" distL="0" distR="0">
            <wp:extent cx="5760720" cy="3657600"/>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xmlns:r="http://schemas.openxmlformats.org/officeDocument/2006/relationships" r:embed="rId3"/>
                    <a:stretch>
                      <a:fillRect/>
                    </a:stretch>
                  </pic:blipFill>
                  <pic:spPr>
                    <a:xfrm>
                      <a:off x="0" y="0"/>
                      <a:ext cx="5760720" cy="3657600"/>
                    </a:xfrm>
                    <a:prstGeom prst="rect">
                      <a:avLst/>
                    </a:prstGeom>
                  </pic:spPr>
                </pic:pic>
              </a:graphicData>
            </a:graphic>
          </wp:inline>
        </w:drawing>
      </w:r>
    </w:p>
    <w:p>
      <w:pPr>
        <w:pStyle w:val="Normal"/>
        <w:jc w:val="center"/>
        <w:spacing w:before="0" w:after="160"/>
        <w:rPr/>
      </w:pPr>
      <w:r>
        <w:rPr>
          <w:sz w:val="18"/>
          <w:szCs w:val="18"/>
          <w:i/>
          <w:iCs/>
        </w:rPr>
        <w:t xml:space="preserve">Figure 1: Sherwood Number vs Graetz Number. The Sieder-Tate correlation (Sh = 1.86 Gz^(1/3)) is shown as the solid blue line. The BioForge Stage 2 design point (Gz = 42.1, Sh = 6.47, KL = 1.13e-03 cm/s) falls directly on the theoretical line.</w:t>
      </w:r>
    </w:p>
    <w:p>
      <w:pPr>
        <w:pStyle w:val="Normal"/>
        <w:spacing w:before="200" w:after="80"/>
        <w:rPr/>
      </w:pPr>
      <w:r>
        <w:rPr>
          <w:sz w:val="24"/>
          <w:szCs w:val="24"/>
          <w:b/>
          <w:bCs/>
          <w:color w:val="1A4D8F"/>
        </w:rPr>
        <w:t xml:space="preserve">5.3  Interfacial Area and Single-Pass Recovery</w:t>
      </w:r>
    </w:p>
    <w:p>
      <w:pPr>
        <w:pStyle w:val="Normal"/>
        <w:jc w:val="center"/>
        <w:spacing w:before="80" w:after="80"/>
        <w:shd w:val="clear" w:color="auto" w:fill="F0F4FF"/>
        <w:rPr/>
      </w:pPr>
      <w:r>
        <w:rPr>
          <w:rFonts w:ascii="Courier New" w:hAnsi="Courier New" w:cs="Courier New"/>
          <w:sz w:val="20"/>
          <w:szCs w:val="20"/>
          <w:color w:val="1A237E"/>
        </w:rPr>
        <w:t xml:space="preserve">A_module = N*pi*di*L = 2000*pi*0.04*30 = 7540 cm2 (0.7540 m2)  [Eq. 17]</w:t>
      </w:r>
    </w:p>
    <w:p>
      <w:pPr>
        <w:pStyle w:val="Normal"/>
        <w:jc w:val="center"/>
        <w:spacing w:before="80" w:after="80"/>
        <w:shd w:val="clear" w:color="auto" w:fill="F0F4FF"/>
        <w:rPr/>
      </w:pPr>
      <w:r>
        <w:rPr>
          <w:rFonts w:ascii="Courier New" w:hAnsi="Courier New" w:cs="Courier New"/>
          <w:sz w:val="20"/>
          <w:szCs w:val="20"/>
          <w:color w:val="1A237E"/>
        </w:rPr>
        <w:t xml:space="preserve">eta_single = 1-exp(-KL*A/QL) = 1-exp(-1.1324e-03*7540/13.89) = 45.9%   [Eq. 18]</w:t>
      </w:r>
    </w:p>
    <w:p>
      <w:pPr>
        <w:pStyle w:val="Normal"/>
        <w:spacing w:before="200" w:after="80"/>
        <w:rPr/>
      </w:pPr>
      <w:r>
        <w:rPr>
          <w:sz w:val="24"/>
          <w:szCs w:val="24"/>
          <w:b/>
          <w:bCs/>
          <w:color w:val="1A4D8F"/>
        </w:rPr>
        <w:t xml:space="preserve">5.4  Multi-Module Series Configuration for 95% Recovery</w:t>
      </w:r>
    </w:p>
    <w:p>
      <w:pPr>
        <w:pStyle w:val="Normal"/>
        <w:spacing w:before="0" w:after="100"/>
        <w:rPr/>
      </w:pPr>
      <w:r>
        <w:rPr>
          <w:sz w:val="22"/>
          <w:szCs w:val="22"/>
        </w:rPr>
        <w:t xml:space="preserve">A single module achieves 45.9% recovery per pass. For n modules in series:</w:t>
      </w:r>
    </w:p>
    <w:p>
      <w:pPr>
        <w:pStyle w:val="Normal"/>
        <w:jc w:val="center"/>
        <w:spacing w:before="80" w:after="80"/>
        <w:shd w:val="clear" w:color="auto" w:fill="F0F4FF"/>
        <w:rPr/>
      </w:pPr>
      <w:r>
        <w:rPr>
          <w:rFonts w:ascii="Courier New" w:hAnsi="Courier New" w:cs="Courier New"/>
          <w:sz w:val="20"/>
          <w:szCs w:val="20"/>
          <w:color w:val="1A237E"/>
        </w:rPr>
        <w:t xml:space="preserve">eta_total = 1 - (1 - eta_single)^n                        [Eq. 19]</w:t>
      </w:r>
    </w:p>
    <w:p>
      <w:pPr>
        <w:pStyle w:val="Normal"/>
        <w:jc w:val="center"/>
        <w:spacing w:before="80" w:after="80"/>
        <w:shd w:val="clear" w:color="auto" w:fill="F0F4FF"/>
        <w:rPr/>
      </w:pPr>
      <w:r>
        <w:rPr>
          <w:rFonts w:ascii="Courier New" w:hAnsi="Courier New" w:cs="Courier New"/>
          <w:sz w:val="20"/>
          <w:szCs w:val="20"/>
          <w:color w:val="1A237E"/>
        </w:rPr>
        <w:t xml:space="preserve">n = ceil[ln(1-0.95) / ln(1-0.459)] = ceil[4.87] = 5 modules  [Eq. 20]</w:t>
      </w:r>
    </w:p>
    <w:p>
      <w:pPr>
        <w:pStyle w:val="Normal"/>
        <w:jc w:val="center"/>
        <w:spacing w:before="80" w:after="80"/>
        <w:shd w:val="clear" w:color="auto" w:fill="F0F4FF"/>
        <w:rPr/>
      </w:pPr>
      <w:r>
        <w:rPr>
          <w:rFonts w:ascii="Courier New" w:hAnsi="Courier New" w:cs="Courier New"/>
          <w:sz w:val="20"/>
          <w:szCs w:val="20"/>
          <w:color w:val="1A237E"/>
        </w:rPr>
        <w:t xml:space="preserve">eta_total = 1 - (0.541)^5 = 95.4%              [Eq. 21]</w:t>
      </w:r>
    </w:p>
    <w:p>
      <w:pPr>
        <w:pStyle w:val="Normal"/>
        <w:spacing w:before="0" w:after="100"/>
        <w:rPr/>
      </w:pPr>
      <w:r>
        <w:rPr>
          <w:sz w:val="22"/>
          <w:szCs w:val="22"/>
        </w:rPr>
        <w:t xml:space="preserve">Figure 2 shows cumulative recovery as a function of modules in series. The 5-module configuration is the minimum achieving the 95% target.</w:t>
      </w:r>
    </w:p>
    <w:p>
      <w:pPr>
        <w:jc w:val="center"/>
        <w:spacing w:after="60"/>
      </w:pPr>
      <w:r>
        <w:drawing>
          <wp:inline xmlns:wp="http://schemas.openxmlformats.org/drawingml/2006/wordprocessingDrawing" distT="0" distB="0" distL="0" distR="0">
            <wp:extent cx="5760720" cy="365760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xmlns:r="http://schemas.openxmlformats.org/officeDocument/2006/relationships" r:embed="rId4"/>
                    <a:stretch>
                      <a:fillRect/>
                    </a:stretch>
                  </pic:blipFill>
                  <pic:spPr>
                    <a:xfrm>
                      <a:off x="0" y="0"/>
                      <a:ext cx="5760720" cy="3657600"/>
                    </a:xfrm>
                    <a:prstGeom prst="rect">
                      <a:avLst/>
                    </a:prstGeom>
                  </pic:spPr>
                </pic:pic>
              </a:graphicData>
            </a:graphic>
          </wp:inline>
        </w:drawing>
      </w:r>
    </w:p>
    <w:p>
      <w:pPr>
        <w:pStyle w:val="Normal"/>
        <w:jc w:val="center"/>
        <w:spacing w:before="0" w:after="160"/>
        <w:rPr/>
      </w:pPr>
      <w:r>
        <w:rPr>
          <w:sz w:val="18"/>
          <w:szCs w:val="18"/>
          <w:i/>
          <w:iCs/>
        </w:rPr>
        <w:t xml:space="preserve">Figure 2: Cumulative citric acid recovery vs modules in series. N = 2000 fibers/module, L = 30 cm, Q_L = 13.9 cm3/s. The 5-module design (green bar: 95.4%) exceeds the 95% target and surpasses the conventional extraction baseline of 85% starting from module 3.</w:t>
      </w:r>
    </w:p>
    <w:p>
      <w:pPr>
        <w:pStyle w:val="Normal"/>
        <w:spacing w:before="200" w:after="80"/>
        <w:rPr/>
      </w:pPr>
      <w:r>
        <w:rPr>
          <w:sz w:val="24"/>
          <w:szCs w:val="24"/>
          <w:b/>
          <w:bCs/>
          <w:color w:val="1A4D8F"/>
        </w:rPr>
        <w:t xml:space="preserve">5.5  Pilot-Scale Module Summary</w:t>
      </w:r>
    </w:p>
    <w:tbl>
      <w:tblPr>
        <w:tblBorders>
          <w:top w:val="single" w:sz="4" w:color="B0BEC5"/>
          <w:left w:val="single" w:sz="4" w:color="B0BEC5"/>
          <w:bottom w:val="single" w:sz="4" w:color="B0BEC5"/>
          <w:right w:val="single" w:sz="4" w:color="B0BEC5"/>
          <w:insideH w:val="single" w:sz="4" w:color="E0E0E0"/>
          <w:insideV w:val="single" w:sz="4" w:color="E0E0E0"/>
        </w:tblBorders>
        <w:tblW w:w="9360" w:type="dxa"/>
      </w:tblPr>
      <w:tblGrid>
        <w:gridCol w:w="4320"/>
        <w:gridCol w:w="3168"/>
        <w:gridCol w:w="1872"/>
      </w:tblGrid>
      <w:tr>
        <w:trPr>
          <w:tblHeader/>
        </w:trPr>
        <w:tc>
          <w:tcPr>
            <w:tcW w:w="4320" w:type="dxa"/>
            <w:shd w:val="clear" w:color="auto" w:fill="1A4D8F"/>
            <w:vAlign w:val="top"/>
          </w:tcPr>
          <w:p>
            <w:pPr>
              <w:pStyle w:val="Normal"/>
              <w:spacing w:before="0" w:after="100"/>
              <w:shd w:val="clear" w:color="auto" w:fill="1A4D8F"/>
              <w:rPr/>
            </w:pPr>
            <w:r>
              <w:rPr>
                <w:sz w:val="20"/>
                <w:szCs w:val="20"/>
                <w:b/>
                <w:bCs/>
                <w:color w:val="FFFFFF"/>
              </w:rPr>
              <w:t xml:space="preserve">Design Output</w:t>
            </w:r>
          </w:p>
        </w:tc>
        <w:tc>
          <w:tcPr>
            <w:tcW w:w="3168" w:type="dxa"/>
            <w:shd w:val="clear" w:color="auto" w:fill="1A4D8F"/>
            <w:vAlign w:val="top"/>
          </w:tcPr>
          <w:p>
            <w:pPr>
              <w:pStyle w:val="Normal"/>
              <w:spacing w:before="0" w:after="100"/>
              <w:shd w:val="clear" w:color="auto" w:fill="1A4D8F"/>
              <w:rPr/>
            </w:pPr>
            <w:r>
              <w:rPr>
                <w:sz w:val="20"/>
                <w:szCs w:val="20"/>
                <w:b/>
                <w:bCs/>
                <w:color w:val="FFFFFF"/>
              </w:rPr>
              <w:t xml:space="preserve">Value</w:t>
            </w:r>
          </w:p>
        </w:tc>
        <w:tc>
          <w:tcPr>
            <w:tcW w:w="1872" w:type="dxa"/>
            <w:shd w:val="clear" w:color="auto" w:fill="1A4D8F"/>
            <w:vAlign w:val="top"/>
          </w:tcPr>
          <w:p>
            <w:pPr>
              <w:pStyle w:val="Normal"/>
              <w:spacing w:before="0" w:after="100"/>
              <w:shd w:val="clear" w:color="auto" w:fill="1A4D8F"/>
              <w:rPr/>
            </w:pPr>
            <w:r>
              <w:rPr>
                <w:sz w:val="20"/>
                <w:szCs w:val="20"/>
                <w:b/>
                <w:bCs/>
                <w:color w:val="FFFFFF"/>
              </w:rPr>
              <w:t xml:space="preserve">Units</w:t>
            </w:r>
          </w:p>
        </w:tc>
      </w:tr>
      <w:tr>
        <w:tc>
          <w:tcPr>
            <w:tcW w:w="4320" w:type="dxa"/>
            <w:vAlign w:val="top"/>
          </w:tcPr>
          <w:p>
            <w:pPr>
              <w:pStyle w:val="Normal"/>
              <w:spacing w:before="0" w:after="100"/>
              <w:rPr/>
            </w:pPr>
            <w:r>
              <w:rPr>
                <w:sz w:val="19.0"/>
                <w:szCs w:val="19.0"/>
              </w:rPr>
              <w:t xml:space="preserve">Liquid velocity in lumen</w:t>
            </w:r>
          </w:p>
        </w:tc>
        <w:tc>
          <w:tcPr>
            <w:tcW w:w="3168" w:type="dxa"/>
            <w:vAlign w:val="top"/>
          </w:tcPr>
          <w:p>
            <w:pPr>
              <w:pStyle w:val="Normal"/>
              <w:spacing w:before="0" w:after="100"/>
              <w:rPr/>
            </w:pPr>
            <w:r>
              <w:rPr>
                <w:sz w:val="19.0"/>
                <w:szCs w:val="19.0"/>
              </w:rPr>
              <w:t xml:space="preserve">5.53</w:t>
            </w:r>
          </w:p>
        </w:tc>
        <w:tc>
          <w:tcPr>
            <w:tcW w:w="1872" w:type="dxa"/>
            <w:vAlign w:val="top"/>
          </w:tcPr>
          <w:p>
            <w:pPr>
              <w:pStyle w:val="Normal"/>
              <w:spacing w:before="0" w:after="100"/>
              <w:rPr/>
            </w:pPr>
            <w:r>
              <w:rPr>
                <w:sz w:val="19.0"/>
                <w:szCs w:val="19.0"/>
              </w:rPr>
              <w:t xml:space="preserve">cm/s</w:t>
            </w:r>
          </w:p>
        </w:tc>
      </w:tr>
      <w:tr>
        <w:tc>
          <w:tcPr>
            <w:tcW w:w="4320" w:type="dxa"/>
            <w:vAlign w:val="top"/>
          </w:tcPr>
          <w:p>
            <w:pPr>
              <w:pStyle w:val="Normal"/>
              <w:spacing w:before="0" w:after="100"/>
              <w:shd w:val="clear" w:color="auto" w:fill="F7F9FF"/>
              <w:rPr/>
            </w:pPr>
            <w:r>
              <w:rPr>
                <w:sz w:val="19.0"/>
                <w:szCs w:val="19.0"/>
              </w:rPr>
              <w:t xml:space="preserve">Reynolds number</w:t>
            </w:r>
          </w:p>
        </w:tc>
        <w:tc>
          <w:tcPr>
            <w:tcW w:w="3168" w:type="dxa"/>
            <w:vAlign w:val="top"/>
          </w:tcPr>
          <w:p>
            <w:pPr>
              <w:pStyle w:val="Normal"/>
              <w:spacing w:before="0" w:after="100"/>
              <w:shd w:val="clear" w:color="auto" w:fill="F7F9FF"/>
              <w:rPr/>
            </w:pPr>
            <w:r>
              <w:rPr>
                <w:sz w:val="19.0"/>
                <w:szCs w:val="19.0"/>
              </w:rPr>
              <w:t xml:space="preserve">18.8</w:t>
            </w:r>
          </w:p>
        </w:tc>
        <w:tc>
          <w:tcPr>
            <w:tcW w:w="1872" w:type="dxa"/>
            <w:vAlign w:val="top"/>
          </w:tcPr>
          <w:p>
            <w:pPr>
              <w:pStyle w:val="Normal"/>
              <w:spacing w:before="0" w:after="100"/>
              <w:shd w:val="clear" w:color="auto" w:fill="F7F9FF"/>
              <w:rPr/>
            </w:pPr>
            <w:r>
              <w:rPr>
                <w:sz w:val="19.0"/>
                <w:szCs w:val="19.0"/>
              </w:rPr>
              <w:t xml:space="preserve">laminar confirmed (&lt; 2100)</w:t>
            </w:r>
          </w:p>
        </w:tc>
      </w:tr>
      <w:tr>
        <w:tc>
          <w:tcPr>
            <w:tcW w:w="4320" w:type="dxa"/>
            <w:vAlign w:val="top"/>
          </w:tcPr>
          <w:p>
            <w:pPr>
              <w:pStyle w:val="Normal"/>
              <w:spacing w:before="0" w:after="100"/>
              <w:rPr/>
            </w:pPr>
            <w:r>
              <w:rPr>
                <w:sz w:val="19.0"/>
                <w:szCs w:val="19.0"/>
              </w:rPr>
              <w:t xml:space="preserve">Schmidt number</w:t>
            </w:r>
          </w:p>
        </w:tc>
        <w:tc>
          <w:tcPr>
            <w:tcW w:w="3168" w:type="dxa"/>
            <w:vAlign w:val="top"/>
          </w:tcPr>
          <w:p>
            <w:pPr>
              <w:pStyle w:val="Normal"/>
              <w:spacing w:before="0" w:after="100"/>
              <w:rPr/>
            </w:pPr>
            <w:r>
              <w:rPr>
                <w:sz w:val="19.0"/>
                <w:szCs w:val="19.0"/>
              </w:rPr>
              <w:t xml:space="preserve">1681</w:t>
            </w:r>
          </w:p>
        </w:tc>
        <w:tc>
          <w:tcPr>
            <w:tcW w:w="1872" w:type="dxa"/>
            <w:vAlign w:val="top"/>
          </w:tcPr>
          <w:p>
            <w:pPr>
              <w:pStyle w:val="Normal"/>
              <w:spacing w:before="0" w:after="100"/>
              <w:rPr/>
            </w:pPr>
            <w:r>
              <w:rPr>
                <w:sz w:val="19.0"/>
                <w:szCs w:val="19.0"/>
              </w:rPr>
              <w:t xml:space="preserve">--</w:t>
            </w:r>
          </w:p>
        </w:tc>
      </w:tr>
      <w:tr>
        <w:tc>
          <w:tcPr>
            <w:tcW w:w="4320" w:type="dxa"/>
            <w:vAlign w:val="top"/>
          </w:tcPr>
          <w:p>
            <w:pPr>
              <w:pStyle w:val="Normal"/>
              <w:spacing w:before="0" w:after="100"/>
              <w:shd w:val="clear" w:color="auto" w:fill="F7F9FF"/>
              <w:rPr/>
            </w:pPr>
            <w:r>
              <w:rPr>
                <w:sz w:val="19.0"/>
                <w:szCs w:val="19.0"/>
              </w:rPr>
              <w:t xml:space="preserve">Graetz number</w:t>
            </w:r>
          </w:p>
        </w:tc>
        <w:tc>
          <w:tcPr>
            <w:tcW w:w="3168" w:type="dxa"/>
            <w:vAlign w:val="top"/>
          </w:tcPr>
          <w:p>
            <w:pPr>
              <w:pStyle w:val="Normal"/>
              <w:spacing w:before="0" w:after="100"/>
              <w:shd w:val="clear" w:color="auto" w:fill="F7F9FF"/>
              <w:rPr/>
            </w:pPr>
            <w:r>
              <w:rPr>
                <w:sz w:val="19.0"/>
                <w:szCs w:val="19.0"/>
              </w:rPr>
              <w:t xml:space="preserve">42.10</w:t>
            </w:r>
          </w:p>
        </w:tc>
        <w:tc>
          <w:tcPr>
            <w:tcW w:w="1872" w:type="dxa"/>
            <w:vAlign w:val="top"/>
          </w:tcPr>
          <w:p>
            <w:pPr>
              <w:pStyle w:val="Normal"/>
              <w:spacing w:before="0" w:after="100"/>
              <w:shd w:val="clear" w:color="auto" w:fill="F7F9FF"/>
              <w:rPr/>
            </w:pPr>
            <w:r>
              <w:rPr>
                <w:sz w:val="19.0"/>
                <w:szCs w:val="19.0"/>
              </w:rPr>
              <w:t xml:space="preserve">--</w:t>
            </w:r>
          </w:p>
        </w:tc>
      </w:tr>
      <w:tr>
        <w:tc>
          <w:tcPr>
            <w:tcW w:w="4320" w:type="dxa"/>
            <w:vAlign w:val="top"/>
          </w:tcPr>
          <w:p>
            <w:pPr>
              <w:pStyle w:val="Normal"/>
              <w:spacing w:before="0" w:after="100"/>
              <w:rPr/>
            </w:pPr>
            <w:r>
              <w:rPr>
                <w:sz w:val="19.0"/>
                <w:szCs w:val="19.0"/>
              </w:rPr>
              <w:t xml:space="preserve">Sherwood number</w:t>
            </w:r>
          </w:p>
        </w:tc>
        <w:tc>
          <w:tcPr>
            <w:tcW w:w="3168" w:type="dxa"/>
            <w:vAlign w:val="top"/>
          </w:tcPr>
          <w:p>
            <w:pPr>
              <w:pStyle w:val="Normal"/>
              <w:spacing w:before="0" w:after="100"/>
              <w:rPr/>
            </w:pPr>
            <w:r>
              <w:rPr>
                <w:sz w:val="19.0"/>
                <w:szCs w:val="19.0"/>
              </w:rPr>
              <w:t xml:space="preserve">6.47</w:t>
            </w:r>
          </w:p>
        </w:tc>
        <w:tc>
          <w:tcPr>
            <w:tcW w:w="1872" w:type="dxa"/>
            <w:vAlign w:val="top"/>
          </w:tcPr>
          <w:p>
            <w:pPr>
              <w:pStyle w:val="Normal"/>
              <w:spacing w:before="0" w:after="100"/>
              <w:rPr/>
            </w:pPr>
            <w:r>
              <w:rPr>
                <w:sz w:val="19.0"/>
                <w:szCs w:val="19.0"/>
              </w:rPr>
              <w:t xml:space="preserve">--</w:t>
            </w:r>
          </w:p>
        </w:tc>
      </w:tr>
      <w:tr>
        <w:tc>
          <w:tcPr>
            <w:tcW w:w="4320" w:type="dxa"/>
            <w:vAlign w:val="top"/>
          </w:tcPr>
          <w:p>
            <w:pPr>
              <w:pStyle w:val="Normal"/>
              <w:spacing w:before="0" w:after="100"/>
              <w:shd w:val="clear" w:color="auto" w:fill="F7F9FF"/>
              <w:rPr/>
            </w:pPr>
            <w:r>
              <w:rPr>
                <w:sz w:val="19.0"/>
                <w:szCs w:val="19.0"/>
              </w:rPr>
              <w:t xml:space="preserve">KL (liquid-phase mass transfer coefficient)</w:t>
            </w:r>
          </w:p>
        </w:tc>
        <w:tc>
          <w:tcPr>
            <w:tcW w:w="3168" w:type="dxa"/>
            <w:vAlign w:val="top"/>
          </w:tcPr>
          <w:p>
            <w:pPr>
              <w:pStyle w:val="Normal"/>
              <w:spacing w:before="0" w:after="100"/>
              <w:shd w:val="clear" w:color="auto" w:fill="F7F9FF"/>
              <w:rPr/>
            </w:pPr>
            <w:r>
              <w:rPr>
                <w:sz w:val="19.0"/>
                <w:szCs w:val="19.0"/>
              </w:rPr>
              <w:t xml:space="preserve">1.1324e-03</w:t>
            </w:r>
          </w:p>
        </w:tc>
        <w:tc>
          <w:tcPr>
            <w:tcW w:w="1872" w:type="dxa"/>
            <w:vAlign w:val="top"/>
          </w:tcPr>
          <w:p>
            <w:pPr>
              <w:pStyle w:val="Normal"/>
              <w:spacing w:before="0" w:after="100"/>
              <w:shd w:val="clear" w:color="auto" w:fill="F7F9FF"/>
              <w:rPr/>
            </w:pPr>
            <w:r>
              <w:rPr>
                <w:sz w:val="19.0"/>
                <w:szCs w:val="19.0"/>
              </w:rPr>
              <w:t xml:space="preserve">cm/s</w:t>
            </w:r>
          </w:p>
        </w:tc>
      </w:tr>
      <w:tr>
        <w:tc>
          <w:tcPr>
            <w:tcW w:w="4320" w:type="dxa"/>
            <w:vAlign w:val="top"/>
          </w:tcPr>
          <w:p>
            <w:pPr>
              <w:pStyle w:val="Normal"/>
              <w:spacing w:before="0" w:after="100"/>
              <w:rPr/>
            </w:pPr>
            <w:r>
              <w:rPr>
                <w:sz w:val="19.0"/>
                <w:szCs w:val="19.0"/>
              </w:rPr>
              <w:t xml:space="preserve">Interfacial area per module</w:t>
            </w:r>
          </w:p>
        </w:tc>
        <w:tc>
          <w:tcPr>
            <w:tcW w:w="3168" w:type="dxa"/>
            <w:vAlign w:val="top"/>
          </w:tcPr>
          <w:p>
            <w:pPr>
              <w:pStyle w:val="Normal"/>
              <w:spacing w:before="0" w:after="100"/>
              <w:rPr/>
            </w:pPr>
            <w:r>
              <w:rPr>
                <w:sz w:val="19.0"/>
                <w:szCs w:val="19.0"/>
              </w:rPr>
              <w:t xml:space="preserve">7540  (0.7540 m2)</w:t>
            </w:r>
          </w:p>
        </w:tc>
        <w:tc>
          <w:tcPr>
            <w:tcW w:w="1872" w:type="dxa"/>
            <w:vAlign w:val="top"/>
          </w:tcPr>
          <w:p>
            <w:pPr>
              <w:pStyle w:val="Normal"/>
              <w:spacing w:before="0" w:after="100"/>
              <w:rPr/>
            </w:pPr>
            <w:r>
              <w:rPr>
                <w:sz w:val="19.0"/>
                <w:szCs w:val="19.0"/>
              </w:rPr>
              <w:t xml:space="preserve">cm2</w:t>
            </w:r>
          </w:p>
        </w:tc>
      </w:tr>
      <w:tr>
        <w:tc>
          <w:tcPr>
            <w:tcW w:w="4320" w:type="dxa"/>
            <w:vAlign w:val="top"/>
          </w:tcPr>
          <w:p>
            <w:pPr>
              <w:pStyle w:val="Normal"/>
              <w:spacing w:before="0" w:after="100"/>
              <w:shd w:val="clear" w:color="auto" w:fill="F7F9FF"/>
              <w:rPr/>
            </w:pPr>
            <w:r>
              <w:rPr>
                <w:sz w:val="19.0"/>
                <w:szCs w:val="19.0"/>
              </w:rPr>
              <w:t xml:space="preserve">Single-pass recovery</w:t>
            </w:r>
          </w:p>
        </w:tc>
        <w:tc>
          <w:tcPr>
            <w:tcW w:w="3168" w:type="dxa"/>
            <w:vAlign w:val="top"/>
          </w:tcPr>
          <w:p>
            <w:pPr>
              <w:pStyle w:val="Normal"/>
              <w:spacing w:before="0" w:after="100"/>
              <w:shd w:val="clear" w:color="auto" w:fill="F7F9FF"/>
              <w:rPr/>
            </w:pPr>
            <w:r>
              <w:rPr>
                <w:sz w:val="19.0"/>
                <w:szCs w:val="19.0"/>
              </w:rPr>
              <w:t xml:space="preserve">45.9%</w:t>
            </w:r>
          </w:p>
        </w:tc>
        <w:tc>
          <w:tcPr>
            <w:tcW w:w="1872" w:type="dxa"/>
            <w:vAlign w:val="top"/>
          </w:tcPr>
          <w:p>
            <w:pPr>
              <w:pStyle w:val="Normal"/>
              <w:spacing w:before="0" w:after="100"/>
              <w:shd w:val="clear" w:color="auto" w:fill="F7F9FF"/>
              <w:rPr/>
            </w:pPr>
            <w:r>
              <w:rPr>
                <w:sz w:val="19.0"/>
                <w:szCs w:val="19.0"/>
              </w:rPr>
              <w:t xml:space="preserve">--</w:t>
            </w:r>
          </w:p>
        </w:tc>
      </w:tr>
      <w:tr>
        <w:tc>
          <w:tcPr>
            <w:tcW w:w="4320" w:type="dxa"/>
            <w:vAlign w:val="top"/>
          </w:tcPr>
          <w:p>
            <w:pPr>
              <w:pStyle w:val="Normal"/>
              <w:spacing w:before="0" w:after="100"/>
              <w:rPr/>
            </w:pPr>
            <w:r>
              <w:rPr>
                <w:sz w:val="19.0"/>
                <w:szCs w:val="19.0"/>
              </w:rPr>
              <w:t xml:space="preserve">Modules for 95% recovery</w:t>
            </w:r>
          </w:p>
        </w:tc>
        <w:tc>
          <w:tcPr>
            <w:tcW w:w="3168" w:type="dxa"/>
            <w:vAlign w:val="top"/>
          </w:tcPr>
          <w:p>
            <w:pPr>
              <w:pStyle w:val="Normal"/>
              <w:spacing w:before="0" w:after="100"/>
              <w:rPr/>
            </w:pPr>
            <w:r>
              <w:rPr>
                <w:sz w:val="19.0"/>
                <w:szCs w:val="19.0"/>
              </w:rPr>
              <w:t xml:space="preserve">5  (in series)</w:t>
            </w:r>
          </w:p>
        </w:tc>
        <w:tc>
          <w:tcPr>
            <w:tcW w:w="1872" w:type="dxa"/>
            <w:vAlign w:val="top"/>
          </w:tcPr>
          <w:p>
            <w:pPr>
              <w:pStyle w:val="Normal"/>
              <w:spacing w:before="0" w:after="100"/>
              <w:rPr/>
            </w:pPr>
            <w:r>
              <w:rPr>
                <w:sz w:val="19.0"/>
                <w:szCs w:val="19.0"/>
              </w:rPr>
              <w:t xml:space="preserve">--</w:t>
            </w:r>
          </w:p>
        </w:tc>
      </w:tr>
      <w:tr>
        <w:tc>
          <w:tcPr>
            <w:tcW w:w="4320" w:type="dxa"/>
            <w:vAlign w:val="top"/>
          </w:tcPr>
          <w:p>
            <w:pPr>
              <w:pStyle w:val="Normal"/>
              <w:spacing w:before="0" w:after="100"/>
              <w:shd w:val="clear" w:color="auto" w:fill="E8F5E9"/>
              <w:rPr/>
            </w:pPr>
            <w:r>
              <w:rPr>
                <w:sz w:val="19.0"/>
                <w:szCs w:val="19.0"/>
                <w:b/>
                <w:bCs/>
                <w:color w:val="2E7D32"/>
              </w:rPr>
              <w:t xml:space="preserve">Total recovery (5 modules)</w:t>
            </w:r>
          </w:p>
        </w:tc>
        <w:tc>
          <w:tcPr>
            <w:tcW w:w="3168" w:type="dxa"/>
            <w:vAlign w:val="top"/>
          </w:tcPr>
          <w:p>
            <w:pPr>
              <w:pStyle w:val="Normal"/>
              <w:spacing w:before="0" w:after="100"/>
              <w:shd w:val="clear" w:color="auto" w:fill="E8F5E9"/>
              <w:rPr/>
            </w:pPr>
            <w:r>
              <w:rPr>
                <w:sz w:val="19.0"/>
                <w:szCs w:val="19.0"/>
                <w:b/>
                <w:bCs/>
                <w:color w:val="2E7D32"/>
              </w:rPr>
              <w:t xml:space="preserve">95.4%</w:t>
            </w:r>
          </w:p>
        </w:tc>
        <w:tc>
          <w:tcPr>
            <w:tcW w:w="1872" w:type="dxa"/>
            <w:vAlign w:val="top"/>
          </w:tcPr>
          <w:p>
            <w:pPr>
              <w:pStyle w:val="Normal"/>
              <w:spacing w:before="0" w:after="100"/>
              <w:shd w:val="clear" w:color="auto" w:fill="E8F5E9"/>
              <w:rPr/>
            </w:pPr>
            <w:r>
              <w:rPr>
                <w:sz w:val="19.0"/>
                <w:szCs w:val="19.0"/>
                <w:b/>
                <w:bCs/>
                <w:color w:val="2E7D32"/>
              </w:rPr>
              <w:t xml:space="preserve">--</w:t>
            </w:r>
          </w:p>
        </w:tc>
      </w:tr>
      <w:tr>
        <w:tc>
          <w:tcPr>
            <w:tcW w:w="4320" w:type="dxa"/>
            <w:vAlign w:val="top"/>
          </w:tcPr>
          <w:p>
            <w:pPr>
              <w:pStyle w:val="Normal"/>
              <w:spacing w:before="0" w:after="100"/>
              <w:shd w:val="clear" w:color="auto" w:fill="E8F5E9"/>
              <w:rPr/>
            </w:pPr>
            <w:r>
              <w:rPr>
                <w:sz w:val="19.0"/>
                <w:szCs w:val="19.0"/>
                <w:b/>
                <w:bCs/>
                <w:color w:val="2E7D32"/>
              </w:rPr>
              <w:t xml:space="preserve">Total membrane area (pilot)</w:t>
            </w:r>
          </w:p>
        </w:tc>
        <w:tc>
          <w:tcPr>
            <w:tcW w:w="3168" w:type="dxa"/>
            <w:vAlign w:val="top"/>
          </w:tcPr>
          <w:p>
            <w:pPr>
              <w:pStyle w:val="Normal"/>
              <w:spacing w:before="0" w:after="100"/>
              <w:shd w:val="clear" w:color="auto" w:fill="E8F5E9"/>
              <w:rPr/>
            </w:pPr>
            <w:r>
              <w:rPr>
                <w:sz w:val="19.0"/>
                <w:szCs w:val="19.0"/>
                <w:b/>
                <w:bCs/>
                <w:color w:val="2E7D32"/>
              </w:rPr>
              <w:t xml:space="preserve">3.7699 m2</w:t>
            </w:r>
          </w:p>
        </w:tc>
        <w:tc>
          <w:tcPr>
            <w:tcW w:w="1872" w:type="dxa"/>
            <w:vAlign w:val="top"/>
          </w:tcPr>
          <w:p>
            <w:pPr>
              <w:pStyle w:val="Normal"/>
              <w:spacing w:before="0" w:after="100"/>
              <w:shd w:val="clear" w:color="auto" w:fill="E8F5E9"/>
              <w:rPr/>
            </w:pPr>
            <w:r>
              <w:rPr>
                <w:sz w:val="19.0"/>
                <w:szCs w:val="19.0"/>
                <w:b/>
                <w:bCs/>
                <w:color w:val="2E7D32"/>
              </w:rPr>
              <w:t xml:space="preserve">--</w:t>
            </w:r>
          </w:p>
        </w:tc>
      </w:tr>
    </w:tbl>
    <w:p>
      <w:pPr>
        <w:pStyle w:val="Normal"/>
        <w:spacing w:before="0" w:after="100"/>
        <w:rPr/>
      </w:pPr>
      <w:r>
        <w:rPr>
          <w:sz w:val="22"/>
          <w:szCs w:val="22"/>
        </w:rPr>
        <w:t xml:space="preserve">Figure 3 shows the BioForge Stage 2 pilot-scale module configuration schematic.</w:t>
      </w:r>
    </w:p>
    <w:p>
      <w:pPr>
        <w:jc w:val="center"/>
        <w:spacing w:after="60"/>
      </w:pPr>
      <w:r>
        <w:drawing>
          <wp:inline xmlns:wp="http://schemas.openxmlformats.org/drawingml/2006/wordprocessingDrawing" distT="0" distB="0" distL="0" distR="0">
            <wp:extent cx="5760720" cy="3200400"/>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xmlns:r="http://schemas.openxmlformats.org/officeDocument/2006/relationships" r:embed="rId5"/>
                    <a:stretch>
                      <a:fillRect/>
                    </a:stretch>
                  </pic:blipFill>
                  <pic:spPr>
                    <a:xfrm>
                      <a:off x="0" y="0"/>
                      <a:ext cx="5760720" cy="3200400"/>
                    </a:xfrm>
                    <a:prstGeom prst="rect">
                      <a:avLst/>
                    </a:prstGeom>
                  </pic:spPr>
                </pic:pic>
              </a:graphicData>
            </a:graphic>
          </wp:inline>
        </w:drawing>
      </w:r>
    </w:p>
    <w:p>
      <w:pPr>
        <w:pStyle w:val="Normal"/>
        <w:jc w:val="center"/>
        <w:spacing w:before="0" w:after="160"/>
        <w:rPr/>
      </w:pPr>
      <w:r>
        <w:rPr>
          <w:sz w:val="18"/>
          <w:szCs w:val="18"/>
          <w:i/>
          <w:iCs/>
        </w:rPr>
        <w:t xml:space="preserve">Figure 3: BioForge Stage 2 pilot-scale HFC module configuration. Five modules in series process a 100-L fermentation broth batch at Q_L = 13.9 cm3/s. Alamine 336/n-heptane solvent flows on the shell side. Cumulative recovery at each module outlet is shown. Total area: 3.770 m2.</w:t>
      </w:r>
    </w:p>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6.  Industrial Scale-Up</w:t>
      </w:r>
    </w:p>
    <w:p>
      <w:pPr>
        <w:pStyle w:val="Normal"/>
        <w:spacing w:before="0" w:after="100"/>
        <w:rPr/>
      </w:pPr>
      <w:r>
        <w:rPr>
          <w:sz w:val="22"/>
          <w:szCs w:val="22"/>
        </w:rPr>
        <w:t xml:space="preserve">Scaling from pilot (100 L) to industrial scale (1,000 L) requires increasing the liquid flow rate by a factor of 10 while maintaining the same module geometry. The number of modules in series remains 5, but 10 parallel lanes are added.</w:t>
      </w:r>
    </w:p>
    <w:p>
      <w:pPr>
        <w:pStyle w:val="Normal"/>
        <w:jc w:val="center"/>
        <w:spacing w:before="80" w:after="80"/>
        <w:shd w:val="clear" w:color="auto" w:fill="F0F4FF"/>
        <w:rPr/>
      </w:pPr>
      <w:r>
        <w:rPr>
          <w:rFonts w:ascii="Courier New" w:hAnsi="Courier New" w:cs="Courier New"/>
          <w:sz w:val="20"/>
          <w:szCs w:val="20"/>
          <w:color w:val="1A237E"/>
        </w:rPr>
        <w:t xml:space="preserve">Q_L,ind = 1,000,000 cm3 / (2h*3600 s/h) = 138.9 cm3/s           [Eq. 22]</w:t>
      </w:r>
    </w:p>
    <w:p>
      <w:pPr>
        <w:pStyle w:val="Normal"/>
        <w:jc w:val="center"/>
        <w:spacing w:before="80" w:after="80"/>
        <w:shd w:val="clear" w:color="auto" w:fill="F0F4FF"/>
        <w:rPr/>
      </w:pPr>
      <w:r>
        <w:rPr>
          <w:rFonts w:ascii="Courier New" w:hAnsi="Courier New" w:cs="Courier New"/>
          <w:sz w:val="20"/>
          <w:szCs w:val="20"/>
          <w:color w:val="1A237E"/>
        </w:rPr>
        <w:t xml:space="preserve">n_parallel = ceil(138.9 / 13.89) = 10 parallel lanes              [Eq. 23]</w:t>
      </w:r>
    </w:p>
    <w:p>
      <w:pPr>
        <w:pStyle w:val="Normal"/>
        <w:jc w:val="center"/>
        <w:spacing w:before="80" w:after="80"/>
        <w:shd w:val="clear" w:color="auto" w:fill="F0F4FF"/>
        <w:rPr/>
      </w:pPr>
      <w:r>
        <w:rPr>
          <w:rFonts w:ascii="Courier New" w:hAnsi="Courier New" w:cs="Courier New"/>
          <w:sz w:val="20"/>
          <w:szCs w:val="20"/>
          <w:color w:val="1A237E"/>
        </w:rPr>
        <w:t xml:space="preserve">Total modules = 5 * 10 = 50  |  Total area = 37.7 m2   [Eq. 24]</w:t>
      </w:r>
    </w:p>
    <w:tbl>
      <w:tblPr>
        <w:tblBorders>
          <w:top w:val="single" w:sz="4" w:color="B0BEC5"/>
          <w:left w:val="single" w:sz="4" w:color="B0BEC5"/>
          <w:bottom w:val="single" w:sz="4" w:color="B0BEC5"/>
          <w:right w:val="single" w:sz="4" w:color="B0BEC5"/>
          <w:insideH w:val="single" w:sz="4" w:color="E0E0E0"/>
          <w:insideV w:val="single" w:sz="4" w:color="E0E0E0"/>
        </w:tblBorders>
        <w:tblW w:w="9360" w:type="dxa"/>
      </w:tblPr>
      <w:tblGrid>
        <w:gridCol w:w="1152"/>
        <w:gridCol w:w="1296"/>
        <w:gridCol w:w="1296"/>
        <w:gridCol w:w="1440"/>
        <w:gridCol w:w="1440"/>
        <w:gridCol w:w="2160"/>
        <w:gridCol w:w="1296"/>
      </w:tblGrid>
      <w:tr>
        <w:trPr>
          <w:tblHeader/>
        </w:trPr>
        <w:tc>
          <w:tcPr>
            <w:tcW w:w="1152" w:type="dxa"/>
            <w:shd w:val="clear" w:color="auto" w:fill="1A4D8F"/>
            <w:vAlign w:val="top"/>
          </w:tcPr>
          <w:p>
            <w:pPr>
              <w:pStyle w:val="Normal"/>
              <w:spacing w:before="0" w:after="100"/>
              <w:shd w:val="clear" w:color="auto" w:fill="1A4D8F"/>
              <w:rPr/>
            </w:pPr>
            <w:r>
              <w:rPr>
                <w:sz w:val="20"/>
                <w:szCs w:val="20"/>
                <w:b/>
                <w:bCs/>
                <w:color w:val="FFFFFF"/>
              </w:rPr>
              <w:t xml:space="preserve">Scale</w:t>
            </w:r>
          </w:p>
        </w:tc>
        <w:tc>
          <w:tcPr>
            <w:tcW w:w="1296" w:type="dxa"/>
            <w:shd w:val="clear" w:color="auto" w:fill="1A4D8F"/>
            <w:vAlign w:val="top"/>
          </w:tcPr>
          <w:p>
            <w:pPr>
              <w:pStyle w:val="Normal"/>
              <w:spacing w:before="0" w:after="100"/>
              <w:shd w:val="clear" w:color="auto" w:fill="1A4D8F"/>
              <w:rPr/>
            </w:pPr>
            <w:r>
              <w:rPr>
                <w:sz w:val="20"/>
                <w:szCs w:val="20"/>
                <w:b/>
                <w:bCs/>
                <w:color w:val="FFFFFF"/>
              </w:rPr>
              <w:t xml:space="preserve">Batch Volume</w:t>
            </w:r>
          </w:p>
        </w:tc>
        <w:tc>
          <w:tcPr>
            <w:tcW w:w="1296" w:type="dxa"/>
            <w:shd w:val="clear" w:color="auto" w:fill="1A4D8F"/>
            <w:vAlign w:val="top"/>
          </w:tcPr>
          <w:p>
            <w:pPr>
              <w:pStyle w:val="Normal"/>
              <w:spacing w:before="0" w:after="100"/>
              <w:shd w:val="clear" w:color="auto" w:fill="1A4D8F"/>
              <w:rPr/>
            </w:pPr>
            <w:r>
              <w:rPr>
                <w:sz w:val="20"/>
                <w:szCs w:val="20"/>
                <w:b/>
                <w:bCs/>
                <w:color w:val="FFFFFF"/>
              </w:rPr>
              <w:t xml:space="preserve">QL (cm3/s)</w:t>
            </w:r>
          </w:p>
        </w:tc>
        <w:tc>
          <w:tcPr>
            <w:tcW w:w="1440" w:type="dxa"/>
            <w:shd w:val="clear" w:color="auto" w:fill="1A4D8F"/>
            <w:vAlign w:val="top"/>
          </w:tcPr>
          <w:p>
            <w:pPr>
              <w:pStyle w:val="Normal"/>
              <w:spacing w:before="0" w:after="100"/>
              <w:shd w:val="clear" w:color="auto" w:fill="1A4D8F"/>
              <w:rPr/>
            </w:pPr>
            <w:r>
              <w:rPr>
                <w:sz w:val="20"/>
                <w:szCs w:val="20"/>
                <w:b/>
                <w:bCs/>
                <w:color w:val="FFFFFF"/>
              </w:rPr>
              <w:t xml:space="preserve">Parallel Lanes</w:t>
            </w:r>
          </w:p>
        </w:tc>
        <w:tc>
          <w:tcPr>
            <w:tcW w:w="1440" w:type="dxa"/>
            <w:shd w:val="clear" w:color="auto" w:fill="1A4D8F"/>
            <w:vAlign w:val="top"/>
          </w:tcPr>
          <w:p>
            <w:pPr>
              <w:pStyle w:val="Normal"/>
              <w:spacing w:before="0" w:after="100"/>
              <w:shd w:val="clear" w:color="auto" w:fill="1A4D8F"/>
              <w:rPr/>
            </w:pPr>
            <w:r>
              <w:rPr>
                <w:sz w:val="20"/>
                <w:szCs w:val="20"/>
                <w:b/>
                <w:bCs/>
                <w:color w:val="FFFFFF"/>
              </w:rPr>
              <w:t xml:space="preserve">Total Modules</w:t>
            </w:r>
          </w:p>
        </w:tc>
        <w:tc>
          <w:tcPr>
            <w:tcW w:w="2160" w:type="dxa"/>
            <w:shd w:val="clear" w:color="auto" w:fill="1A4D8F"/>
            <w:vAlign w:val="top"/>
          </w:tcPr>
          <w:p>
            <w:pPr>
              <w:pStyle w:val="Normal"/>
              <w:spacing w:before="0" w:after="100"/>
              <w:shd w:val="clear" w:color="auto" w:fill="1A4D8F"/>
              <w:rPr/>
            </w:pPr>
            <w:r>
              <w:rPr>
                <w:sz w:val="20"/>
                <w:szCs w:val="20"/>
                <w:b/>
                <w:bCs/>
                <w:color w:val="FFFFFF"/>
              </w:rPr>
              <w:t xml:space="preserve">Total Membrane Area</w:t>
            </w:r>
          </w:p>
        </w:tc>
        <w:tc>
          <w:tcPr>
            <w:tcW w:w="1296" w:type="dxa"/>
            <w:shd w:val="clear" w:color="auto" w:fill="1A4D8F"/>
            <w:vAlign w:val="top"/>
          </w:tcPr>
          <w:p>
            <w:pPr>
              <w:pStyle w:val="Normal"/>
              <w:spacing w:before="0" w:after="100"/>
              <w:shd w:val="clear" w:color="auto" w:fill="1A4D8F"/>
              <w:rPr/>
            </w:pPr>
            <w:r>
              <w:rPr>
                <w:sz w:val="20"/>
                <w:szCs w:val="20"/>
                <w:b/>
                <w:bCs/>
                <w:color w:val="FFFFFF"/>
              </w:rPr>
              <w:t xml:space="preserve">Recovery</w:t>
            </w:r>
          </w:p>
        </w:tc>
      </w:tr>
      <w:tr>
        <w:tc>
          <w:tcPr>
            <w:tcW w:w="1152" w:type="dxa"/>
            <w:vAlign w:val="top"/>
          </w:tcPr>
          <w:p>
            <w:pPr>
              <w:pStyle w:val="Normal"/>
              <w:spacing w:before="0" w:after="100"/>
              <w:rPr/>
            </w:pPr>
            <w:r>
              <w:rPr>
                <w:sz w:val="19.0"/>
                <w:szCs w:val="19.0"/>
              </w:rPr>
              <w:t xml:space="preserve">Pilot</w:t>
            </w:r>
          </w:p>
        </w:tc>
        <w:tc>
          <w:tcPr>
            <w:tcW w:w="1296" w:type="dxa"/>
            <w:vAlign w:val="top"/>
          </w:tcPr>
          <w:p>
            <w:pPr>
              <w:pStyle w:val="Normal"/>
              <w:spacing w:before="0" w:after="100"/>
              <w:rPr/>
            </w:pPr>
            <w:r>
              <w:rPr>
                <w:sz w:val="19.0"/>
                <w:szCs w:val="19.0"/>
              </w:rPr>
              <w:t xml:space="preserve">100 L</w:t>
            </w:r>
          </w:p>
        </w:tc>
        <w:tc>
          <w:tcPr>
            <w:tcW w:w="1296" w:type="dxa"/>
            <w:vAlign w:val="top"/>
          </w:tcPr>
          <w:p>
            <w:pPr>
              <w:pStyle w:val="Normal"/>
              <w:spacing w:before="0" w:after="100"/>
              <w:rPr/>
            </w:pPr>
            <w:r>
              <w:rPr>
                <w:sz w:val="19.0"/>
                <w:szCs w:val="19.0"/>
              </w:rPr>
              <w:t xml:space="preserve">13.9</w:t>
            </w:r>
          </w:p>
        </w:tc>
        <w:tc>
          <w:tcPr>
            <w:tcW w:w="1440" w:type="dxa"/>
            <w:vAlign w:val="top"/>
          </w:tcPr>
          <w:p>
            <w:pPr>
              <w:pStyle w:val="Normal"/>
              <w:spacing w:before="0" w:after="100"/>
              <w:rPr/>
            </w:pPr>
            <w:r>
              <w:rPr>
                <w:sz w:val="19.0"/>
                <w:szCs w:val="19.0"/>
              </w:rPr>
              <w:t xml:space="preserve">1</w:t>
            </w:r>
          </w:p>
        </w:tc>
        <w:tc>
          <w:tcPr>
            <w:tcW w:w="1440" w:type="dxa"/>
            <w:vAlign w:val="top"/>
          </w:tcPr>
          <w:p>
            <w:pPr>
              <w:pStyle w:val="Normal"/>
              <w:spacing w:before="0" w:after="100"/>
              <w:rPr/>
            </w:pPr>
            <w:r>
              <w:rPr>
                <w:sz w:val="19.0"/>
                <w:szCs w:val="19.0"/>
              </w:rPr>
              <w:t xml:space="preserve">5</w:t>
            </w:r>
          </w:p>
        </w:tc>
        <w:tc>
          <w:tcPr>
            <w:tcW w:w="2160" w:type="dxa"/>
            <w:vAlign w:val="top"/>
          </w:tcPr>
          <w:p>
            <w:pPr>
              <w:pStyle w:val="Normal"/>
              <w:spacing w:before="0" w:after="100"/>
              <w:rPr/>
            </w:pPr>
            <w:r>
              <w:rPr>
                <w:sz w:val="19.0"/>
                <w:szCs w:val="19.0"/>
              </w:rPr>
              <w:t xml:space="preserve">3.770 m2</w:t>
            </w:r>
          </w:p>
        </w:tc>
        <w:tc>
          <w:tcPr>
            <w:tcW w:w="1296" w:type="dxa"/>
            <w:vAlign w:val="top"/>
          </w:tcPr>
          <w:p>
            <w:pPr>
              <w:pStyle w:val="Normal"/>
              <w:spacing w:before="0" w:after="100"/>
              <w:rPr/>
            </w:pPr>
            <w:r>
              <w:rPr>
                <w:sz w:val="19.0"/>
                <w:szCs w:val="19.0"/>
              </w:rPr>
              <w:t xml:space="preserve">95.4%</w:t>
            </w:r>
          </w:p>
        </w:tc>
      </w:tr>
      <w:tr>
        <w:tc>
          <w:tcPr>
            <w:tcW w:w="1152" w:type="dxa"/>
            <w:vAlign w:val="top"/>
          </w:tcPr>
          <w:p>
            <w:pPr>
              <w:pStyle w:val="Normal"/>
              <w:spacing w:before="0" w:after="100"/>
              <w:shd w:val="clear" w:color="auto" w:fill="E8F5E9"/>
              <w:rPr/>
            </w:pPr>
            <w:r>
              <w:rPr>
                <w:sz w:val="19.0"/>
                <w:szCs w:val="19.0"/>
                <w:b/>
                <w:bCs/>
                <w:color w:val="2E7D32"/>
              </w:rPr>
              <w:t xml:space="preserve">Industrial</w:t>
            </w:r>
          </w:p>
        </w:tc>
        <w:tc>
          <w:tcPr>
            <w:tcW w:w="1296" w:type="dxa"/>
            <w:vAlign w:val="top"/>
          </w:tcPr>
          <w:p>
            <w:pPr>
              <w:pStyle w:val="Normal"/>
              <w:spacing w:before="0" w:after="100"/>
              <w:shd w:val="clear" w:color="auto" w:fill="E8F5E9"/>
              <w:rPr/>
            </w:pPr>
            <w:r>
              <w:rPr>
                <w:sz w:val="19.0"/>
                <w:szCs w:val="19.0"/>
                <w:b/>
                <w:bCs/>
                <w:color w:val="2E7D32"/>
              </w:rPr>
              <w:t xml:space="preserve">1,000 L</w:t>
            </w:r>
          </w:p>
        </w:tc>
        <w:tc>
          <w:tcPr>
            <w:tcW w:w="1296" w:type="dxa"/>
            <w:vAlign w:val="top"/>
          </w:tcPr>
          <w:p>
            <w:pPr>
              <w:pStyle w:val="Normal"/>
              <w:spacing w:before="0" w:after="100"/>
              <w:shd w:val="clear" w:color="auto" w:fill="E8F5E9"/>
              <w:rPr/>
            </w:pPr>
            <w:r>
              <w:rPr>
                <w:sz w:val="19.0"/>
                <w:szCs w:val="19.0"/>
                <w:b/>
                <w:bCs/>
                <w:color w:val="2E7D32"/>
              </w:rPr>
              <w:t xml:space="preserve">138.9</w:t>
            </w:r>
          </w:p>
        </w:tc>
        <w:tc>
          <w:tcPr>
            <w:tcW w:w="1440" w:type="dxa"/>
            <w:vAlign w:val="top"/>
          </w:tcPr>
          <w:p>
            <w:pPr>
              <w:pStyle w:val="Normal"/>
              <w:spacing w:before="0" w:after="100"/>
              <w:shd w:val="clear" w:color="auto" w:fill="E8F5E9"/>
              <w:rPr/>
            </w:pPr>
            <w:r>
              <w:rPr>
                <w:sz w:val="19.0"/>
                <w:szCs w:val="19.0"/>
                <w:b/>
                <w:bCs/>
                <w:color w:val="2E7D32"/>
              </w:rPr>
              <w:t xml:space="preserve">10</w:t>
            </w:r>
          </w:p>
        </w:tc>
        <w:tc>
          <w:tcPr>
            <w:tcW w:w="1440" w:type="dxa"/>
            <w:vAlign w:val="top"/>
          </w:tcPr>
          <w:p>
            <w:pPr>
              <w:pStyle w:val="Normal"/>
              <w:spacing w:before="0" w:after="100"/>
              <w:shd w:val="clear" w:color="auto" w:fill="E8F5E9"/>
              <w:rPr/>
            </w:pPr>
            <w:r>
              <w:rPr>
                <w:sz w:val="19.0"/>
                <w:szCs w:val="19.0"/>
                <w:b/>
                <w:bCs/>
                <w:color w:val="2E7D32"/>
              </w:rPr>
              <w:t xml:space="preserve">50</w:t>
            </w:r>
          </w:p>
        </w:tc>
        <w:tc>
          <w:tcPr>
            <w:tcW w:w="2160" w:type="dxa"/>
            <w:vAlign w:val="top"/>
          </w:tcPr>
          <w:p>
            <w:pPr>
              <w:pStyle w:val="Normal"/>
              <w:spacing w:before="0" w:after="100"/>
              <w:shd w:val="clear" w:color="auto" w:fill="E8F5E9"/>
              <w:rPr/>
            </w:pPr>
            <w:r>
              <w:rPr>
                <w:sz w:val="19.0"/>
                <w:szCs w:val="19.0"/>
                <w:b/>
                <w:bCs/>
                <w:color w:val="2E7D32"/>
              </w:rPr>
              <w:t xml:space="preserve">37.7 m2</w:t>
            </w:r>
          </w:p>
        </w:tc>
        <w:tc>
          <w:tcPr>
            <w:tcW w:w="1296" w:type="dxa"/>
            <w:vAlign w:val="top"/>
          </w:tcPr>
          <w:p>
            <w:pPr>
              <w:pStyle w:val="Normal"/>
              <w:spacing w:before="0" w:after="100"/>
              <w:shd w:val="clear" w:color="auto" w:fill="E8F5E9"/>
              <w:rPr/>
            </w:pPr>
            <w:r>
              <w:rPr>
                <w:sz w:val="19.0"/>
                <w:szCs w:val="19.0"/>
                <w:b/>
                <w:bCs/>
                <w:color w:val="2E7D32"/>
              </w:rPr>
              <w:t xml:space="preserve">95.4%</w:t>
            </w:r>
          </w:p>
        </w:tc>
      </w:tr>
    </w:tbl>
    <w:p>
      <w:pPr>
        <w:pStyle w:val="Normal"/>
        <w:spacing w:before="200" w:after="80"/>
        <w:rPr/>
      </w:pPr>
      <w:r>
        <w:rPr>
          <w:sz w:val="24"/>
          <w:szCs w:val="24"/>
          <w:b/>
          <w:bCs/>
          <w:color w:val="1A4D8F"/>
        </w:rPr>
        <w:t xml:space="preserve">6.1  Mass Balance: Citric Acid Recovery Comparison</w:t>
      </w:r>
    </w:p>
    <w:tbl>
      <w:tblPr>
        <w:tblBorders>
          <w:top w:val="single" w:sz="4" w:color="B0BEC5"/>
          <w:left w:val="single" w:sz="4" w:color="B0BEC5"/>
          <w:bottom w:val="single" w:sz="4" w:color="B0BEC5"/>
          <w:right w:val="single" w:sz="4" w:color="B0BEC5"/>
          <w:insideH w:val="single" w:sz="4" w:color="E0E0E0"/>
          <w:insideV w:val="single" w:sz="4" w:color="E0E0E0"/>
        </w:tblBorders>
        <w:tblW w:w="9360" w:type="dxa"/>
      </w:tblPr>
      <w:tblGrid>
        <w:gridCol w:w="4031"/>
        <w:gridCol w:w="1296"/>
        <w:gridCol w:w="2736"/>
        <w:gridCol w:w="1296"/>
      </w:tblGrid>
      <w:tr>
        <w:trPr>
          <w:tblHeader/>
        </w:trPr>
        <w:tc>
          <w:tcPr>
            <w:tcW w:w="4031" w:type="dxa"/>
            <w:shd w:val="clear" w:color="auto" w:fill="1A4D8F"/>
            <w:vAlign w:val="top"/>
          </w:tcPr>
          <w:p>
            <w:pPr>
              <w:pStyle w:val="Normal"/>
              <w:spacing w:before="0" w:after="100"/>
              <w:shd w:val="clear" w:color="auto" w:fill="1A4D8F"/>
              <w:rPr/>
            </w:pPr>
            <w:r>
              <w:rPr>
                <w:sz w:val="20"/>
                <w:szCs w:val="20"/>
                <w:b/>
                <w:bCs/>
                <w:color w:val="FFFFFF"/>
              </w:rPr>
              <w:t xml:space="preserve">Separation Method</w:t>
            </w:r>
          </w:p>
        </w:tc>
        <w:tc>
          <w:tcPr>
            <w:tcW w:w="1296" w:type="dxa"/>
            <w:shd w:val="clear" w:color="auto" w:fill="1A4D8F"/>
            <w:vAlign w:val="top"/>
          </w:tcPr>
          <w:p>
            <w:pPr>
              <w:pStyle w:val="Normal"/>
              <w:spacing w:before="0" w:after="100"/>
              <w:shd w:val="clear" w:color="auto" w:fill="1A4D8F"/>
              <w:rPr/>
            </w:pPr>
            <w:r>
              <w:rPr>
                <w:sz w:val="20"/>
                <w:szCs w:val="20"/>
                <w:b/>
                <w:bCs/>
                <w:color w:val="FFFFFF"/>
              </w:rPr>
              <w:t xml:space="preserve">Recovery</w:t>
            </w:r>
          </w:p>
        </w:tc>
        <w:tc>
          <w:tcPr>
            <w:tcW w:w="2736" w:type="dxa"/>
            <w:shd w:val="clear" w:color="auto" w:fill="1A4D8F"/>
            <w:vAlign w:val="top"/>
          </w:tcPr>
          <w:p>
            <w:pPr>
              <w:pStyle w:val="Normal"/>
              <w:spacing w:before="0" w:after="100"/>
              <w:shd w:val="clear" w:color="auto" w:fill="1A4D8F"/>
              <w:rPr/>
            </w:pPr>
            <w:r>
              <w:rPr>
                <w:sz w:val="20"/>
                <w:szCs w:val="20"/>
                <w:b/>
                <w:bCs/>
                <w:color w:val="FFFFFF"/>
              </w:rPr>
              <w:t xml:space="preserve">CA Recovered (100 L pilot)</w:t>
            </w:r>
          </w:p>
        </w:tc>
        <w:tc>
          <w:tcPr>
            <w:tcW w:w="1296" w:type="dxa"/>
            <w:shd w:val="clear" w:color="auto" w:fill="1A4D8F"/>
            <w:vAlign w:val="top"/>
          </w:tcPr>
          <w:p>
            <w:pPr>
              <w:pStyle w:val="Normal"/>
              <w:spacing w:before="0" w:after="100"/>
              <w:shd w:val="clear" w:color="auto" w:fill="1A4D8F"/>
              <w:rPr/>
            </w:pPr>
            <w:r>
              <w:rPr>
                <w:sz w:val="20"/>
                <w:szCs w:val="20"/>
                <w:b/>
                <w:bCs/>
                <w:color w:val="FFFFFF"/>
              </w:rPr>
              <w:t xml:space="preserve">CA Lost</w:t>
            </w:r>
          </w:p>
        </w:tc>
      </w:tr>
      <w:tr>
        <w:tc>
          <w:tcPr>
            <w:tcW w:w="4031" w:type="dxa"/>
            <w:vAlign w:val="top"/>
          </w:tcPr>
          <w:p>
            <w:pPr>
              <w:pStyle w:val="Normal"/>
              <w:spacing w:before="0" w:after="100"/>
              <w:rPr/>
            </w:pPr>
            <w:r>
              <w:rPr>
                <w:sz w:val="19.0"/>
                <w:szCs w:val="19.0"/>
              </w:rPr>
              <w:t xml:space="preserve">Conventional packed column (baseline)</w:t>
            </w:r>
          </w:p>
        </w:tc>
        <w:tc>
          <w:tcPr>
            <w:tcW w:w="1296" w:type="dxa"/>
            <w:vAlign w:val="top"/>
          </w:tcPr>
          <w:p>
            <w:pPr>
              <w:pStyle w:val="Normal"/>
              <w:spacing w:before="0" w:after="100"/>
              <w:rPr/>
            </w:pPr>
            <w:r>
              <w:rPr>
                <w:sz w:val="19.0"/>
                <w:szCs w:val="19.0"/>
              </w:rPr>
              <w:t xml:space="preserve">85%</w:t>
            </w:r>
          </w:p>
        </w:tc>
        <w:tc>
          <w:tcPr>
            <w:tcW w:w="2736" w:type="dxa"/>
            <w:vAlign w:val="top"/>
          </w:tcPr>
          <w:p>
            <w:pPr>
              <w:pStyle w:val="Normal"/>
              <w:spacing w:before="0" w:after="100"/>
              <w:rPr/>
            </w:pPr>
            <w:r>
              <w:rPr>
                <w:sz w:val="19.0"/>
                <w:szCs w:val="19.0"/>
              </w:rPr>
              <w:t xml:space="preserve">3662 g</w:t>
            </w:r>
          </w:p>
        </w:tc>
        <w:tc>
          <w:tcPr>
            <w:tcW w:w="1296" w:type="dxa"/>
            <w:vAlign w:val="top"/>
          </w:tcPr>
          <w:p>
            <w:pPr>
              <w:pStyle w:val="Normal"/>
              <w:spacing w:before="0" w:after="100"/>
              <w:rPr/>
            </w:pPr>
            <w:r>
              <w:rPr>
                <w:sz w:val="19.0"/>
                <w:szCs w:val="19.0"/>
              </w:rPr>
              <w:t xml:space="preserve">646 g</w:t>
            </w:r>
          </w:p>
        </w:tc>
      </w:tr>
      <w:tr>
        <w:tc>
          <w:tcPr>
            <w:tcW w:w="4031" w:type="dxa"/>
            <w:vAlign w:val="top"/>
          </w:tcPr>
          <w:p>
            <w:pPr>
              <w:pStyle w:val="Normal"/>
              <w:spacing w:before="0" w:after="100"/>
              <w:shd w:val="clear" w:color="auto" w:fill="E8F5E9"/>
              <w:rPr/>
            </w:pPr>
            <w:r>
              <w:rPr>
                <w:sz w:val="19.0"/>
                <w:szCs w:val="19.0"/>
                <w:b/>
                <w:bCs/>
                <w:color w:val="2E7D32"/>
              </w:rPr>
              <w:t xml:space="preserve">BioForge HFC module (this design)</w:t>
            </w:r>
          </w:p>
        </w:tc>
        <w:tc>
          <w:tcPr>
            <w:tcW w:w="1296" w:type="dxa"/>
            <w:vAlign w:val="top"/>
          </w:tcPr>
          <w:p>
            <w:pPr>
              <w:pStyle w:val="Normal"/>
              <w:spacing w:before="0" w:after="100"/>
              <w:shd w:val="clear" w:color="auto" w:fill="E8F5E9"/>
              <w:rPr/>
            </w:pPr>
            <w:r>
              <w:rPr>
                <w:sz w:val="19.0"/>
                <w:szCs w:val="19.0"/>
                <w:b/>
                <w:bCs/>
                <w:color w:val="2E7D32"/>
              </w:rPr>
              <w:t xml:space="preserve">95.4%</w:t>
            </w:r>
          </w:p>
        </w:tc>
        <w:tc>
          <w:tcPr>
            <w:tcW w:w="2736" w:type="dxa"/>
            <w:vAlign w:val="top"/>
          </w:tcPr>
          <w:p>
            <w:pPr>
              <w:pStyle w:val="Normal"/>
              <w:spacing w:before="0" w:after="100"/>
              <w:shd w:val="clear" w:color="auto" w:fill="E8F5E9"/>
              <w:rPr/>
            </w:pPr>
            <w:r>
              <w:rPr>
                <w:sz w:val="19.0"/>
                <w:szCs w:val="19.0"/>
                <w:b/>
                <w:bCs/>
                <w:color w:val="2E7D32"/>
              </w:rPr>
              <w:t xml:space="preserve">4109 g</w:t>
            </w:r>
          </w:p>
        </w:tc>
        <w:tc>
          <w:tcPr>
            <w:tcW w:w="1296" w:type="dxa"/>
            <w:vAlign w:val="top"/>
          </w:tcPr>
          <w:p>
            <w:pPr>
              <w:pStyle w:val="Normal"/>
              <w:spacing w:before="0" w:after="100"/>
              <w:shd w:val="clear" w:color="auto" w:fill="E8F5E9"/>
              <w:rPr/>
            </w:pPr>
            <w:r>
              <w:rPr>
                <w:sz w:val="19.0"/>
                <w:szCs w:val="19.0"/>
                <w:b/>
                <w:bCs/>
                <w:color w:val="2E7D32"/>
              </w:rPr>
              <w:t xml:space="preserve">199 g</w:t>
            </w:r>
          </w:p>
        </w:tc>
      </w:tr>
      <w:tr>
        <w:tc>
          <w:tcPr>
            <w:tcW w:w="4031" w:type="dxa"/>
            <w:vAlign w:val="top"/>
          </w:tcPr>
          <w:p>
            <w:pPr>
              <w:pStyle w:val="Normal"/>
              <w:spacing w:before="0" w:after="100"/>
              <w:rPr/>
            </w:pPr>
            <w:r>
              <w:rPr>
                <w:sz w:val="19.0"/>
                <w:szCs w:val="19.0"/>
              </w:rPr>
              <w:t xml:space="preserve">Improvement</w:t>
            </w:r>
          </w:p>
        </w:tc>
        <w:tc>
          <w:tcPr>
            <w:tcW w:w="1296" w:type="dxa"/>
            <w:vAlign w:val="top"/>
          </w:tcPr>
          <w:p>
            <w:pPr>
              <w:pStyle w:val="Normal"/>
              <w:spacing w:before="0" w:after="100"/>
              <w:rPr/>
            </w:pPr>
            <w:r>
              <w:rPr>
                <w:sz w:val="19.0"/>
                <w:szCs w:val="19.0"/>
              </w:rPr>
              <w:t xml:space="preserve">+12.2%</w:t>
            </w:r>
          </w:p>
        </w:tc>
        <w:tc>
          <w:tcPr>
            <w:tcW w:w="2736" w:type="dxa"/>
            <w:vAlign w:val="top"/>
          </w:tcPr>
          <w:p>
            <w:pPr>
              <w:pStyle w:val="Normal"/>
              <w:spacing w:before="0" w:after="100"/>
              <w:rPr/>
            </w:pPr>
            <w:r>
              <w:rPr>
                <w:sz w:val="19.0"/>
                <w:szCs w:val="19.0"/>
              </w:rPr>
              <w:t xml:space="preserve">+447 g per batch</w:t>
            </w:r>
          </w:p>
        </w:tc>
        <w:tc>
          <w:tcPr>
            <w:tcW w:w="1296" w:type="dxa"/>
            <w:vAlign w:val="top"/>
          </w:tcPr>
          <w:p>
            <w:pPr>
              <w:pStyle w:val="Normal"/>
              <w:spacing w:before="0" w:after="100"/>
              <w:rPr/>
            </w:pPr>
            <w:r>
              <w:rPr>
                <w:sz w:val="19.0"/>
                <w:szCs w:val="19.0"/>
              </w:rPr>
              <w:t xml:space="preserve">--</w:t>
            </w:r>
          </w:p>
        </w:tc>
      </w:tr>
    </w:tbl>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7.  Comparison with Conventional Separation Methods</w:t>
      </w:r>
    </w:p>
    <w:tbl>
      <w:tblPr>
        <w:tblBorders>
          <w:top w:val="single" w:sz="4" w:color="B0BEC5"/>
          <w:left w:val="single" w:sz="4" w:color="B0BEC5"/>
          <w:bottom w:val="single" w:sz="4" w:color="B0BEC5"/>
          <w:right w:val="single" w:sz="4" w:color="B0BEC5"/>
          <w:insideH w:val="single" w:sz="4" w:color="E0E0E0"/>
          <w:insideV w:val="single" w:sz="4" w:color="E0E0E0"/>
        </w:tblBorders>
        <w:tblW w:w="9360" w:type="dxa"/>
      </w:tblPr>
      <w:tblGrid>
        <w:gridCol w:w="2592"/>
        <w:gridCol w:w="3456"/>
        <w:gridCol w:w="3311"/>
      </w:tblGrid>
      <w:tr>
        <w:trPr>
          <w:tblHeader/>
        </w:trPr>
        <w:tc>
          <w:tcPr>
            <w:tcW w:w="2592" w:type="dxa"/>
            <w:shd w:val="clear" w:color="auto" w:fill="1A4D8F"/>
            <w:vAlign w:val="top"/>
          </w:tcPr>
          <w:p>
            <w:pPr>
              <w:pStyle w:val="Normal"/>
              <w:spacing w:before="0" w:after="100"/>
              <w:shd w:val="clear" w:color="auto" w:fill="1A4D8F"/>
              <w:rPr/>
            </w:pPr>
            <w:r>
              <w:rPr>
                <w:sz w:val="20"/>
                <w:szCs w:val="20"/>
                <w:b/>
                <w:bCs/>
                <w:color w:val="FFFFFF"/>
              </w:rPr>
              <w:t xml:space="preserve">Criterion</w:t>
            </w:r>
          </w:p>
        </w:tc>
        <w:tc>
          <w:tcPr>
            <w:tcW w:w="3456" w:type="dxa"/>
            <w:shd w:val="clear" w:color="auto" w:fill="1A4D8F"/>
            <w:vAlign w:val="top"/>
          </w:tcPr>
          <w:p>
            <w:pPr>
              <w:pStyle w:val="Normal"/>
              <w:spacing w:before="0" w:after="100"/>
              <w:shd w:val="clear" w:color="auto" w:fill="1A4D8F"/>
              <w:rPr/>
            </w:pPr>
            <w:r>
              <w:rPr>
                <w:sz w:val="20"/>
                <w:szCs w:val="20"/>
                <w:b/>
                <w:bCs/>
                <w:color w:val="FFFFFF"/>
              </w:rPr>
              <w:t xml:space="preserve">Conventional Packed Column</w:t>
            </w:r>
          </w:p>
        </w:tc>
        <w:tc>
          <w:tcPr>
            <w:tcW w:w="3311" w:type="dxa"/>
            <w:shd w:val="clear" w:color="auto" w:fill="1A4D8F"/>
            <w:vAlign w:val="top"/>
          </w:tcPr>
          <w:p>
            <w:pPr>
              <w:pStyle w:val="Normal"/>
              <w:spacing w:before="0" w:after="100"/>
              <w:shd w:val="clear" w:color="auto" w:fill="1A4D8F"/>
              <w:rPr/>
            </w:pPr>
            <w:r>
              <w:rPr>
                <w:sz w:val="20"/>
                <w:szCs w:val="20"/>
                <w:b/>
                <w:bCs/>
                <w:color w:val="FFFFFF"/>
              </w:rPr>
              <w:t xml:space="preserve">BioForge HFC Module</w:t>
            </w:r>
          </w:p>
        </w:tc>
      </w:tr>
      <w:tr>
        <w:tc>
          <w:tcPr>
            <w:tcW w:w="2592" w:type="dxa"/>
            <w:vAlign w:val="top"/>
          </w:tcPr>
          <w:p>
            <w:pPr>
              <w:pStyle w:val="Normal"/>
              <w:spacing w:before="0" w:after="100"/>
              <w:rPr/>
            </w:pPr>
            <w:r>
              <w:rPr>
                <w:sz w:val="19.0"/>
                <w:szCs w:val="19.0"/>
              </w:rPr>
              <w:t xml:space="preserve">Flooding / channeling</w:t>
            </w:r>
          </w:p>
        </w:tc>
        <w:tc>
          <w:tcPr>
            <w:tcW w:w="3456" w:type="dxa"/>
            <w:vAlign w:val="top"/>
          </w:tcPr>
          <w:p>
            <w:pPr>
              <w:pStyle w:val="Normal"/>
              <w:spacing w:before="0" w:after="100"/>
              <w:rPr/>
            </w:pPr>
            <w:r>
              <w:rPr>
                <w:sz w:val="19.0"/>
                <w:szCs w:val="19.0"/>
              </w:rPr>
              <w:t xml:space="preserve">Occurs at high flow rates, limits throughput</w:t>
            </w:r>
          </w:p>
        </w:tc>
        <w:tc>
          <w:tcPr>
            <w:tcW w:w="3311" w:type="dxa"/>
            <w:vAlign w:val="top"/>
          </w:tcPr>
          <w:p>
            <w:pPr>
              <w:pStyle w:val="Normal"/>
              <w:spacing w:before="0" w:after="100"/>
              <w:rPr/>
            </w:pPr>
            <w:r>
              <w:rPr>
                <w:sz w:val="19.0"/>
                <w:szCs w:val="19.0"/>
              </w:rPr>
              <w:t xml:space="preserve">Absent: phases separated by membrane</w:t>
            </w:r>
          </w:p>
        </w:tc>
      </w:tr>
      <w:tr>
        <w:tc>
          <w:tcPr>
            <w:tcW w:w="2592" w:type="dxa"/>
            <w:vAlign w:val="top"/>
          </w:tcPr>
          <w:p>
            <w:pPr>
              <w:pStyle w:val="Normal"/>
              <w:spacing w:before="0" w:after="100"/>
              <w:shd w:val="clear" w:color="auto" w:fill="F7F9FF"/>
              <w:rPr/>
            </w:pPr>
            <w:r>
              <w:rPr>
                <w:sz w:val="19.0"/>
                <w:szCs w:val="19.0"/>
              </w:rPr>
              <w:t xml:space="preserve">Emulsification</w:t>
            </w:r>
          </w:p>
        </w:tc>
        <w:tc>
          <w:tcPr>
            <w:tcW w:w="3456" w:type="dxa"/>
            <w:vAlign w:val="top"/>
          </w:tcPr>
          <w:p>
            <w:pPr>
              <w:pStyle w:val="Normal"/>
              <w:spacing w:before="0" w:after="100"/>
              <w:shd w:val="clear" w:color="auto" w:fill="F7F9FF"/>
              <w:rPr/>
            </w:pPr>
            <w:r>
              <w:rPr>
                <w:sz w:val="19.0"/>
                <w:szCs w:val="19.0"/>
              </w:rPr>
              <w:t xml:space="preserve">Common, causes product contamination</w:t>
            </w:r>
          </w:p>
        </w:tc>
        <w:tc>
          <w:tcPr>
            <w:tcW w:w="3311" w:type="dxa"/>
            <w:vAlign w:val="top"/>
          </w:tcPr>
          <w:p>
            <w:pPr>
              <w:pStyle w:val="Normal"/>
              <w:spacing w:before="0" w:after="100"/>
              <w:shd w:val="clear" w:color="auto" w:fill="F7F9FF"/>
              <w:rPr/>
            </w:pPr>
            <w:r>
              <w:rPr>
                <w:sz w:val="19.0"/>
                <w:szCs w:val="19.0"/>
              </w:rPr>
              <w:t xml:space="preserve">Absent: no direct phase dispersion</w:t>
            </w:r>
          </w:p>
        </w:tc>
      </w:tr>
      <w:tr>
        <w:tc>
          <w:tcPr>
            <w:tcW w:w="2592" w:type="dxa"/>
            <w:vAlign w:val="top"/>
          </w:tcPr>
          <w:p>
            <w:pPr>
              <w:pStyle w:val="Normal"/>
              <w:spacing w:before="0" w:after="100"/>
              <w:rPr/>
            </w:pPr>
            <w:r>
              <w:rPr>
                <w:sz w:val="19.0"/>
                <w:szCs w:val="19.0"/>
              </w:rPr>
              <w:t xml:space="preserve">Scale-up</w:t>
            </w:r>
          </w:p>
        </w:tc>
        <w:tc>
          <w:tcPr>
            <w:tcW w:w="3456" w:type="dxa"/>
            <w:vAlign w:val="top"/>
          </w:tcPr>
          <w:p>
            <w:pPr>
              <w:pStyle w:val="Normal"/>
              <w:spacing w:before="0" w:after="100"/>
              <w:rPr/>
            </w:pPr>
            <w:r>
              <w:rPr>
                <w:sz w:val="19.0"/>
                <w:szCs w:val="19.0"/>
              </w:rPr>
              <w:t xml:space="preserve">Requires hydrodynamic redesign at each scale</w:t>
            </w:r>
          </w:p>
        </w:tc>
        <w:tc>
          <w:tcPr>
            <w:tcW w:w="3311" w:type="dxa"/>
            <w:vAlign w:val="top"/>
          </w:tcPr>
          <w:p>
            <w:pPr>
              <w:pStyle w:val="Normal"/>
              <w:spacing w:before="0" w:after="100"/>
              <w:rPr/>
            </w:pPr>
            <w:r>
              <w:rPr>
                <w:sz w:val="19.0"/>
                <w:szCs w:val="19.0"/>
              </w:rPr>
              <w:t xml:space="preserve">Linear: add parallel modules, geometry unchanged</w:t>
            </w:r>
          </w:p>
        </w:tc>
      </w:tr>
      <w:tr>
        <w:tc>
          <w:tcPr>
            <w:tcW w:w="2592" w:type="dxa"/>
            <w:vAlign w:val="top"/>
          </w:tcPr>
          <w:p>
            <w:pPr>
              <w:pStyle w:val="Normal"/>
              <w:spacing w:before="0" w:after="100"/>
              <w:shd w:val="clear" w:color="auto" w:fill="F7F9FF"/>
              <w:rPr/>
            </w:pPr>
            <w:r>
              <w:rPr>
                <w:sz w:val="19.0"/>
                <w:szCs w:val="19.0"/>
              </w:rPr>
              <w:t xml:space="preserve">Footprint</w:t>
            </w:r>
          </w:p>
        </w:tc>
        <w:tc>
          <w:tcPr>
            <w:tcW w:w="3456" w:type="dxa"/>
            <w:vAlign w:val="top"/>
          </w:tcPr>
          <w:p>
            <w:pPr>
              <w:pStyle w:val="Normal"/>
              <w:spacing w:before="0" w:after="100"/>
              <w:shd w:val="clear" w:color="auto" w:fill="F7F9FF"/>
              <w:rPr/>
            </w:pPr>
            <w:r>
              <w:rPr>
                <w:sz w:val="19.0"/>
                <w:szCs w:val="19.0"/>
              </w:rPr>
              <w:t xml:space="preserve">5 to 10 m column height, large base</w:t>
            </w:r>
          </w:p>
        </w:tc>
        <w:tc>
          <w:tcPr>
            <w:tcW w:w="3311" w:type="dxa"/>
            <w:vAlign w:val="top"/>
          </w:tcPr>
          <w:p>
            <w:pPr>
              <w:pStyle w:val="Normal"/>
              <w:spacing w:before="0" w:after="100"/>
              <w:shd w:val="clear" w:color="auto" w:fill="F7F9FF"/>
              <w:rPr/>
            </w:pPr>
            <w:r>
              <w:rPr>
                <w:sz w:val="19.0"/>
                <w:szCs w:val="19.0"/>
              </w:rPr>
              <w:t xml:space="preserve">Compact: 5 modules x 30 cm each</w:t>
            </w:r>
          </w:p>
        </w:tc>
      </w:tr>
      <w:tr>
        <w:tc>
          <w:tcPr>
            <w:tcW w:w="2592" w:type="dxa"/>
            <w:vAlign w:val="top"/>
          </w:tcPr>
          <w:p>
            <w:pPr>
              <w:pStyle w:val="Normal"/>
              <w:spacing w:before="0" w:after="100"/>
              <w:rPr/>
            </w:pPr>
            <w:r>
              <w:rPr>
                <w:sz w:val="19.0"/>
                <w:szCs w:val="19.0"/>
              </w:rPr>
              <w:t xml:space="preserve">Energy consumption</w:t>
            </w:r>
          </w:p>
        </w:tc>
        <w:tc>
          <w:tcPr>
            <w:tcW w:w="3456" w:type="dxa"/>
            <w:vAlign w:val="top"/>
          </w:tcPr>
          <w:p>
            <w:pPr>
              <w:pStyle w:val="Normal"/>
              <w:spacing w:before="0" w:after="100"/>
              <w:rPr/>
            </w:pPr>
            <w:r>
              <w:rPr>
                <w:sz w:val="19.0"/>
                <w:szCs w:val="19.0"/>
              </w:rPr>
              <w:t xml:space="preserve">High (pumping, solvent recovery distillation)</w:t>
            </w:r>
          </w:p>
        </w:tc>
        <w:tc>
          <w:tcPr>
            <w:tcW w:w="3311" w:type="dxa"/>
            <w:vAlign w:val="top"/>
          </w:tcPr>
          <w:p>
            <w:pPr>
              <w:pStyle w:val="Normal"/>
              <w:spacing w:before="0" w:after="100"/>
              <w:rPr/>
            </w:pPr>
            <w:r>
              <w:rPr>
                <w:sz w:val="19.0"/>
                <w:szCs w:val="19.0"/>
              </w:rPr>
              <w:t xml:space="preserve">Low: low-pressure pump sufficient</w:t>
            </w:r>
          </w:p>
        </w:tc>
      </w:tr>
      <w:tr>
        <w:tc>
          <w:tcPr>
            <w:tcW w:w="2592" w:type="dxa"/>
            <w:vAlign w:val="top"/>
          </w:tcPr>
          <w:p>
            <w:pPr>
              <w:pStyle w:val="Normal"/>
              <w:spacing w:before="0" w:after="100"/>
              <w:shd w:val="clear" w:color="auto" w:fill="F7F9FF"/>
              <w:rPr/>
            </w:pPr>
            <w:r>
              <w:rPr>
                <w:sz w:val="19.0"/>
                <w:szCs w:val="19.0"/>
              </w:rPr>
              <w:t xml:space="preserve">Recovery (this system)</w:t>
            </w:r>
          </w:p>
        </w:tc>
        <w:tc>
          <w:tcPr>
            <w:tcW w:w="3456" w:type="dxa"/>
            <w:vAlign w:val="top"/>
          </w:tcPr>
          <w:p>
            <w:pPr>
              <w:pStyle w:val="Normal"/>
              <w:spacing w:before="0" w:after="100"/>
              <w:shd w:val="clear" w:color="auto" w:fill="F7F9FF"/>
              <w:rPr/>
            </w:pPr>
            <w:r>
              <w:rPr>
                <w:sz w:val="19.0"/>
                <w:szCs w:val="19.0"/>
              </w:rPr>
              <w:t xml:space="preserve">85%</w:t>
            </w:r>
          </w:p>
        </w:tc>
        <w:tc>
          <w:tcPr>
            <w:tcW w:w="3311" w:type="dxa"/>
            <w:vAlign w:val="top"/>
          </w:tcPr>
          <w:p>
            <w:pPr>
              <w:pStyle w:val="Normal"/>
              <w:spacing w:before="0" w:after="100"/>
              <w:shd w:val="clear" w:color="auto" w:fill="F7F9FF"/>
              <w:rPr/>
            </w:pPr>
            <w:r>
              <w:rPr>
                <w:sz w:val="19.0"/>
                <w:szCs w:val="19.0"/>
              </w:rPr>
              <w:t xml:space="preserve">95.4%</w:t>
            </w:r>
          </w:p>
        </w:tc>
      </w:tr>
      <w:tr>
        <w:tc>
          <w:tcPr>
            <w:tcW w:w="2592" w:type="dxa"/>
            <w:vAlign w:val="top"/>
          </w:tcPr>
          <w:p>
            <w:pPr>
              <w:pStyle w:val="Normal"/>
              <w:spacing w:before="0" w:after="100"/>
              <w:rPr/>
            </w:pPr>
            <w:r>
              <w:rPr>
                <w:sz w:val="19.0"/>
                <w:szCs w:val="19.0"/>
              </w:rPr>
              <w:t xml:space="preserve">Reproducibility</w:t>
            </w:r>
          </w:p>
        </w:tc>
        <w:tc>
          <w:tcPr>
            <w:tcW w:w="3456" w:type="dxa"/>
            <w:vAlign w:val="top"/>
          </w:tcPr>
          <w:p>
            <w:pPr>
              <w:pStyle w:val="Normal"/>
              <w:spacing w:before="0" w:after="100"/>
              <w:rPr/>
            </w:pPr>
            <w:r>
              <w:rPr>
                <w:sz w:val="19.0"/>
                <w:szCs w:val="19.0"/>
              </w:rPr>
              <w:t xml:space="preserve">Depends on packing uniformity, operator skill</w:t>
            </w:r>
          </w:p>
        </w:tc>
        <w:tc>
          <w:tcPr>
            <w:tcW w:w="3311" w:type="dxa"/>
            <w:vAlign w:val="top"/>
          </w:tcPr>
          <w:p>
            <w:pPr>
              <w:pStyle w:val="Normal"/>
              <w:spacing w:before="0" w:after="100"/>
              <w:rPr/>
            </w:pPr>
            <w:r>
              <w:rPr>
                <w:sz w:val="19.0"/>
                <w:szCs w:val="19.0"/>
              </w:rPr>
              <w:t xml:space="preserve">Defined by fiber geometry and QL: fully reproducible</w:t>
            </w:r>
          </w:p>
        </w:tc>
      </w:tr>
      <w:tr>
        <w:tc>
          <w:tcPr>
            <w:tcW w:w="2592" w:type="dxa"/>
            <w:vAlign w:val="top"/>
          </w:tcPr>
          <w:p>
            <w:pPr>
              <w:pStyle w:val="Normal"/>
              <w:spacing w:before="0" w:after="100"/>
              <w:shd w:val="clear" w:color="auto" w:fill="F7F9FF"/>
              <w:rPr/>
            </w:pPr>
            <w:r>
              <w:rPr>
                <w:sz w:val="19.0"/>
                <w:szCs w:val="19.0"/>
              </w:rPr>
              <w:t xml:space="preserve">Design basis</w:t>
            </w:r>
          </w:p>
        </w:tc>
        <w:tc>
          <w:tcPr>
            <w:tcW w:w="3456" w:type="dxa"/>
            <w:vAlign w:val="top"/>
          </w:tcPr>
          <w:p>
            <w:pPr>
              <w:pStyle w:val="Normal"/>
              <w:spacing w:before="0" w:after="100"/>
              <w:shd w:val="clear" w:color="auto" w:fill="F7F9FF"/>
              <w:rPr/>
            </w:pPr>
            <w:r>
              <w:rPr>
                <w:sz w:val="19.0"/>
                <w:szCs w:val="19.0"/>
              </w:rPr>
              <w:t xml:space="preserve">Empirical correlations with broad uncertainty</w:t>
            </w:r>
          </w:p>
        </w:tc>
        <w:tc>
          <w:tcPr>
            <w:tcW w:w="3311" w:type="dxa"/>
            <w:vAlign w:val="top"/>
          </w:tcPr>
          <w:p>
            <w:pPr>
              <w:pStyle w:val="Normal"/>
              <w:spacing w:before="0" w:after="100"/>
              <w:shd w:val="clear" w:color="auto" w:fill="F7F9FF"/>
              <w:rPr/>
            </w:pPr>
            <w:r>
              <w:rPr>
                <w:sz w:val="19.0"/>
                <w:szCs w:val="19.0"/>
              </w:rPr>
              <w:t xml:space="preserve">Yang-Cussler equations, validated by experiment</w:t>
            </w:r>
          </w:p>
        </w:tc>
      </w:tr>
    </w:tbl>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8.  Research Advances and Engineering Considerations</w:t>
      </w:r>
    </w:p>
    <w:p>
      <w:pPr>
        <w:pStyle w:val="Normal"/>
        <w:spacing w:before="200" w:after="80"/>
        <w:rPr/>
      </w:pPr>
      <w:r>
        <w:rPr>
          <w:sz w:val="24"/>
          <w:szCs w:val="24"/>
          <w:b/>
          <w:bCs/>
          <w:color w:val="1A4D8F"/>
        </w:rPr>
        <w:t xml:space="preserve">8.1  Pore Wetting Prevention</w:t>
      </w:r>
    </w:p>
    <w:p>
      <w:pPr>
        <w:pStyle w:val="Normal"/>
        <w:spacing w:before="0" w:after="100"/>
        <w:rPr/>
      </w:pPr>
      <w:r>
        <w:rPr>
          <w:sz w:val="22"/>
          <w:szCs w:val="22"/>
        </w:rPr>
        <w:t xml:space="preserve">The most significant engineering risk in liquid-liquid HFC is pore wetting: penetration of the organic solvent into membrane pores, increasing membrane resistance. The breakthrough pressure (Young-Laplace equation):</w:t>
      </w:r>
    </w:p>
    <w:p>
      <w:pPr>
        <w:pStyle w:val="Normal"/>
        <w:jc w:val="center"/>
        <w:spacing w:before="80" w:after="80"/>
        <w:shd w:val="clear" w:color="auto" w:fill="F0F4FF"/>
        <w:rPr/>
      </w:pPr>
      <w:r>
        <w:rPr>
          <w:rFonts w:ascii="Courier New" w:hAnsi="Courier New" w:cs="Courier New"/>
          <w:sz w:val="20"/>
          <w:szCs w:val="20"/>
          <w:color w:val="1A237E"/>
        </w:rPr>
        <w:t xml:space="preserve">P_breakthrough = 4*gamma*cos(theta) / d_pore,max                [Eq. 25]</w:t>
      </w:r>
    </w:p>
    <w:p>
      <w:pPr>
        <w:pStyle w:val="Normal"/>
        <w:spacing w:before="0" w:after="100"/>
        <w:rPr/>
      </w:pPr>
      <w:r>
        <w:rPr>
          <w:sz w:val="22"/>
          <w:szCs w:val="22"/>
        </w:rPr>
        <w:t xml:space="preserve">For polypropylene (d_pore = 300 Angstroms = 3e-6 cm), n-heptane surface tension gamma = 20 mN/m, and contact angle theta = 0 degrees, P_breakthrough approx 2.67 atm. Operating the shell side at transmembrane pressure below 0.5 atm (standard practice) prevents organic solvent from entering the pores.</w:t>
      </w:r>
    </w:p>
    <w:p>
      <w:pPr>
        <w:pStyle w:val="Normal"/>
        <w:spacing w:before="200" w:after="80"/>
        <w:rPr/>
      </w:pPr>
      <w:r>
        <w:rPr>
          <w:sz w:val="24"/>
          <w:szCs w:val="24"/>
          <w:b/>
          <w:bCs/>
          <w:color w:val="1A4D8F"/>
        </w:rPr>
        <w:t xml:space="preserve">8.2  Hybrid Membrane Solution</w:t>
      </w:r>
    </w:p>
    <w:p>
      <w:pPr>
        <w:pStyle w:val="Normal"/>
        <w:spacing w:before="0" w:after="100"/>
        <w:rPr/>
      </w:pPr>
      <w:r>
        <w:rPr>
          <w:sz w:val="22"/>
          <w:szCs w:val="22"/>
        </w:rPr>
        <w:t xml:space="preserve">Sharma et al. (2021) demonstrated that dual-layer PVA/PVDF membranes combine a hydrophobic PVDF top layer (same function as the Yang-Cussler polypropylene membrane) with a hydrophilic PVA sublayer that prevents total performance loss if the top layer is compromised over extended operation. BioForge Stage 2 will evaluate hybrid membranes for systems requiring continuous operation beyond 6-hour batch cycles.</w:t>
      </w:r>
    </w:p>
    <w:p>
      <w:pPr>
        <w:pStyle w:val="Normal"/>
        <w:spacing w:before="200" w:after="80"/>
        <w:rPr/>
      </w:pPr>
      <w:r>
        <w:rPr>
          <w:sz w:val="24"/>
          <w:szCs w:val="24"/>
          <w:b/>
          <w:bCs/>
          <w:color w:val="1A4D8F"/>
        </w:rPr>
        <w:t xml:space="preserve">8.3  Solvent Selection</w:t>
      </w:r>
    </w:p>
    <w:p>
      <w:pPr>
        <w:pStyle w:val="Normal"/>
        <w:spacing w:before="0" w:after="100"/>
        <w:rPr/>
      </w:pPr>
      <w:r>
        <w:rPr>
          <w:sz w:val="22"/>
          <w:szCs w:val="22"/>
        </w:rPr>
        <w:t xml:space="preserve">Alamine 336 dissolved in n-heptane satisfies both design requirements: (1) H = 5 to 15 at pH 2-3 (confirming reactive regime), and (2) n-heptane surface tension of 20 mN/m against polypropylene is well below the breakthrough pressure threshold. Back-extraction is achieved by contacting the loaded organic phase with warm deionized water (60 to 80 degrees C) or dilute sodium hydroxide in a second HFC array -- the same Yang-Cussler equations apply.</w:t>
      </w:r>
    </w:p>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9.  BioForge Stage 2 Implementation Plan</w:t>
      </w:r>
    </w:p>
    <w:p>
      <w:pPr>
        <w:pStyle w:val="Normal"/>
        <w:spacing w:before="200" w:after="80"/>
        <w:rPr/>
      </w:pPr>
      <w:r>
        <w:rPr>
          <w:sz w:val="24"/>
          <w:szCs w:val="24"/>
          <w:b/>
          <w:bCs/>
          <w:color w:val="1A4D8F"/>
        </w:rPr>
        <w:t xml:space="preserve">9.1  Integration with BioForge Stage 1 Output</w:t>
      </w:r>
    </w:p>
    <w:p>
      <w:pPr>
        <w:pStyle w:val="Normal"/>
        <w:spacing w:before="0" w:after="100"/>
        <w:rPr/>
      </w:pPr>
      <w:r>
        <w:rPr>
          <w:sz w:val="22"/>
          <w:szCs w:val="22"/>
        </w:rPr>
        <w:t xml:space="preserve">BioForge Stage 1 produces a protocol card specifying the predicted citric acid yield (Cin) for any user-defined waste stream. Stage 2 will accept Cin as input and automatically calculate: QL for a user-specified batch volume and processing time, KL from Eq. 16, required interfacial area A from Eqs. 17-18, number of modules and parallel lanes, and expected recovery. This produces a complete separation module specification alongside the fermentation protocol card.</w:t>
      </w:r>
    </w:p>
    <w:p>
      <w:pPr>
        <w:pStyle w:val="Normal"/>
        <w:spacing w:before="200" w:after="80"/>
        <w:rPr/>
      </w:pPr>
      <w:r>
        <w:rPr>
          <w:sz w:val="24"/>
          <w:szCs w:val="24"/>
          <w:b/>
          <w:bCs/>
          <w:color w:val="1A4D8F"/>
        </w:rPr>
        <w:t xml:space="preserve">9.2  BioForge-HFC Software Module</w:t>
      </w:r>
    </w:p>
    <w:p>
      <w:pPr>
        <w:pStyle w:val="Normal"/>
        <w:spacing w:before="0" w:after="100"/>
        <w:rPr/>
      </w:pPr>
      <w:r>
        <w:rPr>
          <w:sz w:val="22"/>
          <w:szCs w:val="22"/>
        </w:rPr>
        <w:t xml:space="preserve">The Stage 2 separation module will be implemented as bioforge/separation/hfc_designer.py -- a Python class that accepts Stage 1 protocol card outputs and computes the full HFC module design. It will output a protocol card extension listing module count, membrane area, flow configuration, and expected recovery for any target product from any waste stream.</w:t>
      </w:r>
    </w:p>
    <w:p>
      <w:pPr>
        <w:pStyle w:val="Normal"/>
        <w:spacing w:before="200" w:after="80"/>
        <w:rPr/>
      </w:pPr>
      <w:r>
        <w:rPr>
          <w:sz w:val="24"/>
          <w:szCs w:val="24"/>
          <w:b/>
          <w:bCs/>
          <w:color w:val="1A4D8F"/>
        </w:rPr>
        <w:t xml:space="preserve">9.3  Planned Experimental Validation</w:t>
      </w:r>
    </w:p>
    <w:p>
      <w:pPr>
        <w:pStyle w:val="Normal"/>
        <w:spacing w:before="0" w:after="100"/>
        <w:rPr/>
      </w:pPr>
      <w:r>
        <w:rPr>
          <w:sz w:val="22"/>
          <w:szCs w:val="22"/>
        </w:rPr>
        <w:t xml:space="preserve">The pilot-scale design (5 modules, 3.770 m2 total area, 95.4% recovery) will be validated experimentally as part of Stage 1b laboratory work. Protocol: (1) filter fermentation broth through 0.2-micron membrane, (2) pump at Q_L = 13.9 cm3/s through the HFC array, (3) measure inlet/outlet citric acid concentration by HPLC, (4) compare measured KL to Yang-Cussler prediction (1.1324e-03 cm/s), and (5) update the BioForge Stage 2 software module accordingly.</w:t>
      </w:r>
    </w:p>
    <w:tbl>
      <w:tblPr>
        <w:tblBorders>
          <w:left w:val="single" w:sz="20" w:color="2E7D32"/>
          <w:top w:val="none"/>
          <w:bottom w:val="none"/>
          <w:right w:val="none"/>
          <w:insideH w:val="none"/>
          <w:insideV w:val="none"/>
        </w:tblBorders>
        <w:tblW w:w="9360" w:type="dxa"/>
      </w:tblPr>
      <w:tblGrid>
        <w:gridCol w:w="9360"/>
      </w:tblGrid>
      <w:tr>
        <w:tc>
          <w:tcPr>
            <w:tcW w:w="9360" w:type="dxa"/>
            <w:shd w:val="clear" w:color="auto" w:fill="E8F5E9"/>
            <w:vAlign w:val="top"/>
          </w:tcPr>
          <w:p>
            <w:pPr>
              <w:pStyle w:val="Normal"/>
              <w:spacing w:before="0" w:after="40"/>
              <w:shd w:val="clear" w:color="auto" w:fill="E8F5E9"/>
              <w:rPr/>
            </w:pPr>
            <w:r>
              <w:rPr>
                <w:sz w:val="21.0"/>
                <w:szCs w:val="21.0"/>
                <w:b/>
                <w:bCs/>
                <w:color w:val="2E7D32"/>
              </w:rPr>
              <w:t xml:space="preserve">Stage 2 Module: What BioForge Will Produce</w:t>
            </w:r>
          </w:p>
          <w:p>
            <w:pPr>
              <w:pStyle w:val="Normal"/>
              <w:spacing w:before="0" w:after="60"/>
              <w:shd w:val="clear" w:color="auto" w:fill="E8F5E9"/>
              <w:rPr/>
            </w:pPr>
            <w:r>
              <w:rPr>
                <w:sz w:val="20"/>
                <w:szCs w:val="20"/>
              </w:rPr>
              <w:t xml:space="preserve">When a U.S. researcher or manufacturer runs their waste stream through BioForge, they will receive two documents: (1) a fermentation optimization protocol card (Stage 1) specifying optimal process stimulants and predicted yield, and (2) a separation module specification (Stage 2) sizing the hollow-fiber extraction array required to recover that product. Together, these constitute a complete, independently reproducible waste-to-value production protocol.</w:t>
            </w:r>
          </w:p>
        </w:tc>
      </w:tr>
    </w:tbl>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10.  Conclusion</w:t>
      </w:r>
    </w:p>
    <w:p>
      <w:pPr>
        <w:pStyle w:val="Normal"/>
        <w:spacing w:before="0" w:after="100"/>
        <w:rPr/>
      </w:pPr>
      <w:r>
        <w:rPr>
          <w:sz w:val="22"/>
          <w:szCs w:val="22"/>
        </w:rPr>
        <w:t xml:space="preserve">This study applies the Yang-Cussler (1986) hollow-fiber membrane contactor design framework to a specific, practically relevant separation problem: recovery of citric acid from yam peel agricultural waste fermentation broth at the yield validated by my published research (Okedi et al., 2024) and reproduced computationally by BioForge Stage 1.</w:t>
      </w:r>
    </w:p>
    <w:p>
      <w:pPr>
        <w:pStyle w:val="Normal"/>
        <w:spacing w:before="0" w:after="100"/>
        <w:rPr/>
      </w:pPr>
      <w:r>
        <w:rPr>
          <w:sz w:val="22"/>
          <w:szCs w:val="22"/>
        </w:rPr>
        <w:t xml:space="preserve">Key design results:</w:t>
      </w:r>
    </w:p>
    <w:p>
      <w:pPr>
        <w:numPr>
          <w:ilvl w:val="0"/>
          <w:numId w:val="1"/>
        </w:numPr>
        <w:spacing w:after="80"/>
      </w:pPr>
      <w:r>
        <w:rPr>
          <w:sz w:val="22"/>
          <w:szCs w:val="22"/>
        </w:rPr>
        <w:t xml:space="preserve">Liquid-phase mass transfer coefficient: KL = 1.1324e-03 cm/s at pilot-scale operating conditions (Re = 18.8, laminar).</w:t>
      </w:r>
    </w:p>
    <w:p>
      <w:pPr>
        <w:numPr>
          <w:ilvl w:val="0"/>
          <w:numId w:val="1"/>
        </w:numPr>
        <w:spacing w:after="80"/>
      </w:pPr>
      <w:r>
        <w:rPr>
          <w:sz w:val="22"/>
          <w:szCs w:val="22"/>
        </w:rPr>
        <w:t xml:space="preserve">Single-pass recovery: 45.9% per module (N = 2,000 fibers, L = 30 cm, A = 7540 cm2).</w:t>
      </w:r>
    </w:p>
    <w:p>
      <w:pPr>
        <w:numPr>
          <w:ilvl w:val="0"/>
          <w:numId w:val="1"/>
        </w:numPr>
        <w:spacing w:after="80"/>
      </w:pPr>
      <w:r>
        <w:rPr>
          <w:sz w:val="22"/>
          <w:szCs w:val="22"/>
        </w:rPr>
        <w:t xml:space="preserve">Modules in series for 95% recovery: 5, achieving 95.4% cumulative recovery.</w:t>
      </w:r>
    </w:p>
    <w:p>
      <w:pPr>
        <w:numPr>
          <w:ilvl w:val="0"/>
          <w:numId w:val="1"/>
        </w:numPr>
        <w:spacing w:after="80"/>
      </w:pPr>
      <w:r>
        <w:rPr>
          <w:sz w:val="22"/>
          <w:szCs w:val="22"/>
        </w:rPr>
        <w:t xml:space="preserve">Total pilot membrane area: 3.770 m2 for a 100-L batch in 2 hours.</w:t>
      </w:r>
    </w:p>
    <w:p>
      <w:pPr>
        <w:numPr>
          <w:ilvl w:val="0"/>
          <w:numId w:val="1"/>
        </w:numPr>
        <w:spacing w:after="80"/>
      </w:pPr>
      <w:r>
        <w:rPr>
          <w:sz w:val="22"/>
          <w:szCs w:val="22"/>
        </w:rPr>
        <w:t xml:space="preserve">Industrial scale (1,000 L): 50 modules (5 series x 10 parallel), 37.7 m2 total area.</w:t>
      </w:r>
    </w:p>
    <w:p>
      <w:pPr>
        <w:numPr>
          <w:ilvl w:val="0"/>
          <w:numId w:val="1"/>
        </w:numPr>
        <w:spacing w:after="80"/>
      </w:pPr>
      <w:r>
        <w:rPr>
          <w:sz w:val="22"/>
          <w:szCs w:val="22"/>
        </w:rPr>
        <w:t xml:space="preserve">Recovery improvement over conventional extraction (85%): +12.2%, yielding 447 additional grams of citric acid per 100-L batch.</w:t>
      </w:r>
    </w:p>
    <w:p>
      <w:pPr>
        <w:pStyle w:val="Normal"/>
        <w:spacing w:before="0" w:after="100"/>
        <w:rPr/>
      </w:pPr>
      <w:r>
        <w:rPr>
          <w:sz w:val="22"/>
          <w:szCs w:val="22"/>
        </w:rPr>
        <w:t xml:space="preserve">The Yang-Cussler Sieder-Tate correlation applies directly: Re = 18.8 confirms laminar flow, large H for Alamine 336 reduces the three-resistance equation to K approx KL, and the polypropylene fiber geometry is identical to the Yang-Cussler experimental setup.</w:t>
      </w:r>
    </w:p>
    <w:p>
      <w:pPr>
        <w:pStyle w:val="Normal"/>
        <w:spacing w:before="0" w:after="100"/>
        <w:rPr/>
      </w:pPr>
      <w:r>
        <w:rPr>
          <w:sz w:val="22"/>
          <w:szCs w:val="22"/>
        </w:rPr>
        <w:t xml:space="preserve">This report demonstrates that the petitioner has the theoretical knowledge, quantitative modeling skill, and domain-specific engineering judgment required to design and implement BioForge Stage 2. The hollow-fiber separation module designed here, integrated with the BioForge Stage 1 optimization engine, will produce a complete waste-to-value process design that any U.S. laboratory or manufacturer can reproduce independently.</w:t>
      </w:r>
    </w:p>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Nomenclature</w:t>
      </w:r>
    </w:p>
    <w:tbl>
      <w:tblPr>
        <w:tblBorders>
          <w:top w:val="single" w:sz="4" w:color="B0BEC5"/>
          <w:left w:val="single" w:sz="4" w:color="B0BEC5"/>
          <w:bottom w:val="single" w:sz="4" w:color="B0BEC5"/>
          <w:right w:val="single" w:sz="4" w:color="B0BEC5"/>
          <w:insideH w:val="single" w:sz="4" w:color="E0E0E0"/>
          <w:insideV w:val="single" w:sz="4" w:color="E0E0E0"/>
        </w:tblBorders>
        <w:tblW w:w="9360" w:type="dxa"/>
      </w:tblPr>
      <w:tblGrid>
        <w:gridCol w:w="1152"/>
        <w:gridCol w:w="4608"/>
        <w:gridCol w:w="3600"/>
      </w:tblGrid>
      <w:tr>
        <w:trPr>
          <w:tblHeader/>
        </w:trPr>
        <w:tc>
          <w:tcPr>
            <w:tcW w:w="1152" w:type="dxa"/>
            <w:shd w:val="clear" w:color="auto" w:fill="1A4D8F"/>
            <w:vAlign w:val="top"/>
          </w:tcPr>
          <w:p>
            <w:pPr>
              <w:pStyle w:val="Normal"/>
              <w:spacing w:before="0" w:after="100"/>
              <w:shd w:val="clear" w:color="auto" w:fill="1A4D8F"/>
              <w:rPr/>
            </w:pPr>
            <w:r>
              <w:rPr>
                <w:sz w:val="20"/>
                <w:szCs w:val="20"/>
                <w:b/>
                <w:bCs/>
                <w:color w:val="FFFFFF"/>
              </w:rPr>
              <w:t xml:space="preserve">Symbol</w:t>
            </w:r>
          </w:p>
        </w:tc>
        <w:tc>
          <w:tcPr>
            <w:tcW w:w="4608" w:type="dxa"/>
            <w:shd w:val="clear" w:color="auto" w:fill="1A4D8F"/>
            <w:vAlign w:val="top"/>
          </w:tcPr>
          <w:p>
            <w:pPr>
              <w:pStyle w:val="Normal"/>
              <w:spacing w:before="0" w:after="100"/>
              <w:shd w:val="clear" w:color="auto" w:fill="1A4D8F"/>
              <w:rPr/>
            </w:pPr>
            <w:r>
              <w:rPr>
                <w:sz w:val="20"/>
                <w:szCs w:val="20"/>
                <w:b/>
                <w:bCs/>
                <w:color w:val="FFFFFF"/>
              </w:rPr>
              <w:t xml:space="preserve">Definition</w:t>
            </w:r>
          </w:p>
        </w:tc>
        <w:tc>
          <w:tcPr>
            <w:tcW w:w="3600" w:type="dxa"/>
            <w:shd w:val="clear" w:color="auto" w:fill="1A4D8F"/>
            <w:vAlign w:val="top"/>
          </w:tcPr>
          <w:p>
            <w:pPr>
              <w:pStyle w:val="Normal"/>
              <w:spacing w:before="0" w:after="100"/>
              <w:shd w:val="clear" w:color="auto" w:fill="1A4D8F"/>
              <w:rPr/>
            </w:pPr>
            <w:r>
              <w:rPr>
                <w:sz w:val="20"/>
                <w:szCs w:val="20"/>
                <w:b/>
                <w:bCs/>
                <w:color w:val="FFFFFF"/>
              </w:rPr>
              <w:t xml:space="preserve">Value / Units</w:t>
            </w:r>
          </w:p>
        </w:tc>
      </w:tr>
      <w:tr>
        <w:tc>
          <w:tcPr>
            <w:tcW w:w="1152" w:type="dxa"/>
            <w:vAlign w:val="top"/>
          </w:tcPr>
          <w:p>
            <w:pPr>
              <w:pStyle w:val="Normal"/>
              <w:spacing w:before="0" w:after="100"/>
              <w:rPr/>
            </w:pPr>
            <w:r>
              <w:rPr>
                <w:sz w:val="19.0"/>
                <w:szCs w:val="19.0"/>
              </w:rPr>
              <w:t xml:space="preserve">A</w:t>
            </w:r>
          </w:p>
        </w:tc>
        <w:tc>
          <w:tcPr>
            <w:tcW w:w="4608" w:type="dxa"/>
            <w:vAlign w:val="top"/>
          </w:tcPr>
          <w:p>
            <w:pPr>
              <w:pStyle w:val="Normal"/>
              <w:spacing w:before="0" w:after="100"/>
              <w:rPr/>
            </w:pPr>
            <w:r>
              <w:rPr>
                <w:sz w:val="19.0"/>
                <w:szCs w:val="19.0"/>
              </w:rPr>
              <w:t xml:space="preserve">Interfacial area of hollow-fiber module</w:t>
            </w:r>
          </w:p>
        </w:tc>
        <w:tc>
          <w:tcPr>
            <w:tcW w:w="3600" w:type="dxa"/>
            <w:vAlign w:val="top"/>
          </w:tcPr>
          <w:p>
            <w:pPr>
              <w:pStyle w:val="Normal"/>
              <w:spacing w:before="0" w:after="100"/>
              <w:rPr/>
            </w:pPr>
            <w:r>
              <w:rPr>
                <w:sz w:val="19.0"/>
                <w:szCs w:val="19.0"/>
              </w:rPr>
              <w:t xml:space="preserve">cm2</w:t>
            </w:r>
          </w:p>
        </w:tc>
      </w:tr>
      <w:tr>
        <w:tc>
          <w:tcPr>
            <w:tcW w:w="1152" w:type="dxa"/>
            <w:vAlign w:val="top"/>
          </w:tcPr>
          <w:p>
            <w:pPr>
              <w:pStyle w:val="Normal"/>
              <w:spacing w:before="0" w:after="100"/>
              <w:shd w:val="clear" w:color="auto" w:fill="F7F9FF"/>
              <w:rPr/>
            </w:pPr>
            <w:r>
              <w:rPr>
                <w:sz w:val="19.0"/>
                <w:szCs w:val="19.0"/>
              </w:rPr>
              <w:t xml:space="preserve">D</w:t>
            </w:r>
          </w:p>
        </w:tc>
        <w:tc>
          <w:tcPr>
            <w:tcW w:w="4608" w:type="dxa"/>
            <w:vAlign w:val="top"/>
          </w:tcPr>
          <w:p>
            <w:pPr>
              <w:pStyle w:val="Normal"/>
              <w:spacing w:before="0" w:after="100"/>
              <w:shd w:val="clear" w:color="auto" w:fill="F7F9FF"/>
              <w:rPr/>
            </w:pPr>
            <w:r>
              <w:rPr>
                <w:sz w:val="19.0"/>
                <w:szCs w:val="19.0"/>
              </w:rPr>
              <w:t xml:space="preserve">Citric acid diffusivity in water at 30 C</w:t>
            </w:r>
          </w:p>
        </w:tc>
        <w:tc>
          <w:tcPr>
            <w:tcW w:w="3600" w:type="dxa"/>
            <w:vAlign w:val="top"/>
          </w:tcPr>
          <w:p>
            <w:pPr>
              <w:pStyle w:val="Normal"/>
              <w:spacing w:before="0" w:after="100"/>
              <w:shd w:val="clear" w:color="auto" w:fill="F7F9FF"/>
              <w:rPr/>
            </w:pPr>
            <w:r>
              <w:rPr>
                <w:sz w:val="19.0"/>
                <w:szCs w:val="19.0"/>
              </w:rPr>
              <w:t xml:space="preserve">7.0e-06 cm2/s</w:t>
            </w:r>
          </w:p>
        </w:tc>
      </w:tr>
      <w:tr>
        <w:tc>
          <w:tcPr>
            <w:tcW w:w="1152" w:type="dxa"/>
            <w:vAlign w:val="top"/>
          </w:tcPr>
          <w:p>
            <w:pPr>
              <w:pStyle w:val="Normal"/>
              <w:spacing w:before="0" w:after="100"/>
              <w:rPr/>
            </w:pPr>
            <w:r>
              <w:rPr>
                <w:sz w:val="19.0"/>
                <w:szCs w:val="19.0"/>
              </w:rPr>
              <w:t xml:space="preserve">di</w:t>
            </w:r>
          </w:p>
        </w:tc>
        <w:tc>
          <w:tcPr>
            <w:tcW w:w="4608" w:type="dxa"/>
            <w:vAlign w:val="top"/>
          </w:tcPr>
          <w:p>
            <w:pPr>
              <w:pStyle w:val="Normal"/>
              <w:spacing w:before="0" w:after="100"/>
              <w:rPr/>
            </w:pPr>
            <w:r>
              <w:rPr>
                <w:sz w:val="19.0"/>
                <w:szCs w:val="19.0"/>
              </w:rPr>
              <w:t xml:space="preserve">Fiber inner diameter</w:t>
            </w:r>
          </w:p>
        </w:tc>
        <w:tc>
          <w:tcPr>
            <w:tcW w:w="3600" w:type="dxa"/>
            <w:vAlign w:val="top"/>
          </w:tcPr>
          <w:p>
            <w:pPr>
              <w:pStyle w:val="Normal"/>
              <w:spacing w:before="0" w:after="100"/>
              <w:rPr/>
            </w:pPr>
            <w:r>
              <w:rPr>
                <w:sz w:val="19.0"/>
                <w:szCs w:val="19.0"/>
              </w:rPr>
              <w:t xml:space="preserve">0.04 cm</w:t>
            </w:r>
          </w:p>
        </w:tc>
      </w:tr>
      <w:tr>
        <w:tc>
          <w:tcPr>
            <w:tcW w:w="1152" w:type="dxa"/>
            <w:vAlign w:val="top"/>
          </w:tcPr>
          <w:p>
            <w:pPr>
              <w:pStyle w:val="Normal"/>
              <w:spacing w:before="0" w:after="100"/>
              <w:shd w:val="clear" w:color="auto" w:fill="F7F9FF"/>
              <w:rPr/>
            </w:pPr>
            <w:r>
              <w:rPr>
                <w:sz w:val="19.0"/>
                <w:szCs w:val="19.0"/>
              </w:rPr>
              <w:t xml:space="preserve">do</w:t>
            </w:r>
          </w:p>
        </w:tc>
        <w:tc>
          <w:tcPr>
            <w:tcW w:w="4608" w:type="dxa"/>
            <w:vAlign w:val="top"/>
          </w:tcPr>
          <w:p>
            <w:pPr>
              <w:pStyle w:val="Normal"/>
              <w:spacing w:before="0" w:after="100"/>
              <w:shd w:val="clear" w:color="auto" w:fill="F7F9FF"/>
              <w:rPr/>
            </w:pPr>
            <w:r>
              <w:rPr>
                <w:sz w:val="19.0"/>
                <w:szCs w:val="19.0"/>
              </w:rPr>
              <w:t xml:space="preserve">Fiber outer diameter</w:t>
            </w:r>
          </w:p>
        </w:tc>
        <w:tc>
          <w:tcPr>
            <w:tcW w:w="3600" w:type="dxa"/>
            <w:vAlign w:val="top"/>
          </w:tcPr>
          <w:p>
            <w:pPr>
              <w:pStyle w:val="Normal"/>
              <w:spacing w:before="0" w:after="100"/>
              <w:shd w:val="clear" w:color="auto" w:fill="F7F9FF"/>
              <w:rPr/>
            </w:pPr>
            <w:r>
              <w:rPr>
                <w:sz w:val="19.0"/>
                <w:szCs w:val="19.0"/>
              </w:rPr>
              <w:t xml:space="preserve">0.046 cm</w:t>
            </w:r>
          </w:p>
        </w:tc>
      </w:tr>
      <w:tr>
        <w:tc>
          <w:tcPr>
            <w:tcW w:w="1152" w:type="dxa"/>
            <w:vAlign w:val="top"/>
          </w:tcPr>
          <w:p>
            <w:pPr>
              <w:pStyle w:val="Normal"/>
              <w:spacing w:before="0" w:after="100"/>
              <w:rPr/>
            </w:pPr>
            <w:r>
              <w:rPr>
                <w:sz w:val="19.0"/>
                <w:szCs w:val="19.0"/>
              </w:rPr>
              <w:t xml:space="preserve">Gz</w:t>
            </w:r>
          </w:p>
        </w:tc>
        <w:tc>
          <w:tcPr>
            <w:tcW w:w="4608" w:type="dxa"/>
            <w:vAlign w:val="top"/>
          </w:tcPr>
          <w:p>
            <w:pPr>
              <w:pStyle w:val="Normal"/>
              <w:spacing w:before="0" w:after="100"/>
              <w:rPr/>
            </w:pPr>
            <w:r>
              <w:rPr>
                <w:sz w:val="19.0"/>
                <w:szCs w:val="19.0"/>
              </w:rPr>
              <w:t xml:space="preserve">Graetz number = Re*Sc*(di/L)</w:t>
            </w:r>
          </w:p>
        </w:tc>
        <w:tc>
          <w:tcPr>
            <w:tcW w:w="3600" w:type="dxa"/>
            <w:vAlign w:val="top"/>
          </w:tcPr>
          <w:p>
            <w:pPr>
              <w:pStyle w:val="Normal"/>
              <w:spacing w:before="0" w:after="100"/>
              <w:rPr/>
            </w:pPr>
            <w:r>
              <w:rPr>
                <w:sz w:val="19.0"/>
                <w:szCs w:val="19.0"/>
              </w:rPr>
              <w:t xml:space="preserve">42.10 (this design)</w:t>
            </w:r>
          </w:p>
        </w:tc>
      </w:tr>
      <w:tr>
        <w:tc>
          <w:tcPr>
            <w:tcW w:w="1152" w:type="dxa"/>
            <w:vAlign w:val="top"/>
          </w:tcPr>
          <w:p>
            <w:pPr>
              <w:pStyle w:val="Normal"/>
              <w:spacing w:before="0" w:after="100"/>
              <w:shd w:val="clear" w:color="auto" w:fill="F7F9FF"/>
              <w:rPr/>
            </w:pPr>
            <w:r>
              <w:rPr>
                <w:sz w:val="19.0"/>
                <w:szCs w:val="19.0"/>
              </w:rPr>
              <w:t xml:space="preserve">H</w:t>
            </w:r>
          </w:p>
        </w:tc>
        <w:tc>
          <w:tcPr>
            <w:tcW w:w="4608" w:type="dxa"/>
            <w:vAlign w:val="top"/>
          </w:tcPr>
          <w:p>
            <w:pPr>
              <w:pStyle w:val="Normal"/>
              <w:spacing w:before="0" w:after="100"/>
              <w:shd w:val="clear" w:color="auto" w:fill="F7F9FF"/>
              <w:rPr/>
            </w:pPr>
            <w:r>
              <w:rPr>
                <w:sz w:val="19.0"/>
                <w:szCs w:val="19.0"/>
              </w:rPr>
              <w:t xml:space="preserve">Distribution coefficient (organic/aqueous)</w:t>
            </w:r>
          </w:p>
        </w:tc>
        <w:tc>
          <w:tcPr>
            <w:tcW w:w="3600" w:type="dxa"/>
            <w:vAlign w:val="top"/>
          </w:tcPr>
          <w:p>
            <w:pPr>
              <w:pStyle w:val="Normal"/>
              <w:spacing w:before="0" w:after="100"/>
              <w:shd w:val="clear" w:color="auto" w:fill="F7F9FF"/>
              <w:rPr/>
            </w:pPr>
            <w:r>
              <w:rPr>
                <w:sz w:val="19.0"/>
                <w:szCs w:val="19.0"/>
              </w:rPr>
              <w:t xml:space="preserve">5-15 (Alamine 336 / citric acid)</w:t>
            </w:r>
          </w:p>
        </w:tc>
      </w:tr>
      <w:tr>
        <w:tc>
          <w:tcPr>
            <w:tcW w:w="1152" w:type="dxa"/>
            <w:vAlign w:val="top"/>
          </w:tcPr>
          <w:p>
            <w:pPr>
              <w:pStyle w:val="Normal"/>
              <w:spacing w:before="0" w:after="100"/>
              <w:rPr/>
            </w:pPr>
            <w:r>
              <w:rPr>
                <w:sz w:val="19.0"/>
                <w:szCs w:val="19.0"/>
              </w:rPr>
              <w:t xml:space="preserve">K</w:t>
            </w:r>
          </w:p>
        </w:tc>
        <w:tc>
          <w:tcPr>
            <w:tcW w:w="4608" w:type="dxa"/>
            <w:vAlign w:val="top"/>
          </w:tcPr>
          <w:p>
            <w:pPr>
              <w:pStyle w:val="Normal"/>
              <w:spacing w:before="0" w:after="100"/>
              <w:rPr/>
            </w:pPr>
            <w:r>
              <w:rPr>
                <w:sz w:val="19.0"/>
                <w:szCs w:val="19.0"/>
              </w:rPr>
              <w:t xml:space="preserve">Overall mass transfer coefficient</w:t>
            </w:r>
          </w:p>
        </w:tc>
        <w:tc>
          <w:tcPr>
            <w:tcW w:w="3600" w:type="dxa"/>
            <w:vAlign w:val="top"/>
          </w:tcPr>
          <w:p>
            <w:pPr>
              <w:pStyle w:val="Normal"/>
              <w:spacing w:before="0" w:after="100"/>
              <w:rPr/>
            </w:pPr>
            <w:r>
              <w:rPr>
                <w:sz w:val="19.0"/>
                <w:szCs w:val="19.0"/>
              </w:rPr>
              <w:t xml:space="preserve">cm/s</w:t>
            </w:r>
          </w:p>
        </w:tc>
      </w:tr>
      <w:tr>
        <w:tc>
          <w:tcPr>
            <w:tcW w:w="1152" w:type="dxa"/>
            <w:vAlign w:val="top"/>
          </w:tcPr>
          <w:p>
            <w:pPr>
              <w:pStyle w:val="Normal"/>
              <w:spacing w:before="0" w:after="100"/>
              <w:shd w:val="clear" w:color="auto" w:fill="F7F9FF"/>
              <w:rPr/>
            </w:pPr>
            <w:r>
              <w:rPr>
                <w:sz w:val="19.0"/>
                <w:szCs w:val="19.0"/>
              </w:rPr>
              <w:t xml:space="preserve">KL</w:t>
            </w:r>
          </w:p>
        </w:tc>
        <w:tc>
          <w:tcPr>
            <w:tcW w:w="4608" w:type="dxa"/>
            <w:vAlign w:val="top"/>
          </w:tcPr>
          <w:p>
            <w:pPr>
              <w:pStyle w:val="Normal"/>
              <w:spacing w:before="0" w:after="100"/>
              <w:shd w:val="clear" w:color="auto" w:fill="F7F9FF"/>
              <w:rPr/>
            </w:pPr>
            <w:r>
              <w:rPr>
                <w:sz w:val="19.0"/>
                <w:szCs w:val="19.0"/>
              </w:rPr>
              <w:t xml:space="preserve">Liquid-phase mass transfer coefficient</w:t>
            </w:r>
          </w:p>
        </w:tc>
        <w:tc>
          <w:tcPr>
            <w:tcW w:w="3600" w:type="dxa"/>
            <w:vAlign w:val="top"/>
          </w:tcPr>
          <w:p>
            <w:pPr>
              <w:pStyle w:val="Normal"/>
              <w:spacing w:before="0" w:after="100"/>
              <w:shd w:val="clear" w:color="auto" w:fill="F7F9FF"/>
              <w:rPr/>
            </w:pPr>
            <w:r>
              <w:rPr>
                <w:sz w:val="19.0"/>
                <w:szCs w:val="19.0"/>
              </w:rPr>
              <w:t xml:space="preserve">1.1324e-03 cm/s (this design)</w:t>
            </w:r>
          </w:p>
        </w:tc>
      </w:tr>
      <w:tr>
        <w:tc>
          <w:tcPr>
            <w:tcW w:w="1152" w:type="dxa"/>
            <w:vAlign w:val="top"/>
          </w:tcPr>
          <w:p>
            <w:pPr>
              <w:pStyle w:val="Normal"/>
              <w:spacing w:before="0" w:after="100"/>
              <w:rPr/>
            </w:pPr>
            <w:r>
              <w:rPr>
                <w:sz w:val="19.0"/>
                <w:szCs w:val="19.0"/>
              </w:rPr>
              <w:t xml:space="preserve">L</w:t>
            </w:r>
          </w:p>
        </w:tc>
        <w:tc>
          <w:tcPr>
            <w:tcW w:w="4608" w:type="dxa"/>
            <w:vAlign w:val="top"/>
          </w:tcPr>
          <w:p>
            <w:pPr>
              <w:pStyle w:val="Normal"/>
              <w:spacing w:before="0" w:after="100"/>
              <w:rPr/>
            </w:pPr>
            <w:r>
              <w:rPr>
                <w:sz w:val="19.0"/>
                <w:szCs w:val="19.0"/>
              </w:rPr>
              <w:t xml:space="preserve">Module length</w:t>
            </w:r>
          </w:p>
        </w:tc>
        <w:tc>
          <w:tcPr>
            <w:tcW w:w="3600" w:type="dxa"/>
            <w:vAlign w:val="top"/>
          </w:tcPr>
          <w:p>
            <w:pPr>
              <w:pStyle w:val="Normal"/>
              <w:spacing w:before="0" w:after="100"/>
              <w:rPr/>
            </w:pPr>
            <w:r>
              <w:rPr>
                <w:sz w:val="19.0"/>
                <w:szCs w:val="19.0"/>
              </w:rPr>
              <w:t xml:space="preserve">30 cm</w:t>
            </w:r>
          </w:p>
        </w:tc>
      </w:tr>
      <w:tr>
        <w:tc>
          <w:tcPr>
            <w:tcW w:w="1152" w:type="dxa"/>
            <w:vAlign w:val="top"/>
          </w:tcPr>
          <w:p>
            <w:pPr>
              <w:pStyle w:val="Normal"/>
              <w:spacing w:before="0" w:after="100"/>
              <w:shd w:val="clear" w:color="auto" w:fill="F7F9FF"/>
              <w:rPr/>
            </w:pPr>
            <w:r>
              <w:rPr>
                <w:sz w:val="19.0"/>
                <w:szCs w:val="19.0"/>
              </w:rPr>
              <w:t xml:space="preserve">mu</w:t>
            </w:r>
          </w:p>
        </w:tc>
        <w:tc>
          <w:tcPr>
            <w:tcW w:w="4608" w:type="dxa"/>
            <w:vAlign w:val="top"/>
          </w:tcPr>
          <w:p>
            <w:pPr>
              <w:pStyle w:val="Normal"/>
              <w:spacing w:before="0" w:after="100"/>
              <w:shd w:val="clear" w:color="auto" w:fill="F7F9FF"/>
              <w:rPr/>
            </w:pPr>
            <w:r>
              <w:rPr>
                <w:sz w:val="19.0"/>
                <w:szCs w:val="19.0"/>
              </w:rPr>
              <w:t xml:space="preserve">Broth viscosity</w:t>
            </w:r>
          </w:p>
        </w:tc>
        <w:tc>
          <w:tcPr>
            <w:tcW w:w="3600" w:type="dxa"/>
            <w:vAlign w:val="top"/>
          </w:tcPr>
          <w:p>
            <w:pPr>
              <w:pStyle w:val="Normal"/>
              <w:spacing w:before="0" w:after="100"/>
              <w:shd w:val="clear" w:color="auto" w:fill="F7F9FF"/>
              <w:rPr/>
            </w:pPr>
            <w:r>
              <w:rPr>
                <w:sz w:val="19.0"/>
                <w:szCs w:val="19.0"/>
              </w:rPr>
              <w:t xml:space="preserve">0.012 g/(cm s)</w:t>
            </w:r>
          </w:p>
        </w:tc>
      </w:tr>
      <w:tr>
        <w:tc>
          <w:tcPr>
            <w:tcW w:w="1152" w:type="dxa"/>
            <w:vAlign w:val="top"/>
          </w:tcPr>
          <w:p>
            <w:pPr>
              <w:pStyle w:val="Normal"/>
              <w:spacing w:before="0" w:after="100"/>
              <w:rPr/>
            </w:pPr>
            <w:r>
              <w:rPr>
                <w:sz w:val="19.0"/>
                <w:szCs w:val="19.0"/>
              </w:rPr>
              <w:t xml:space="preserve">N</w:t>
            </w:r>
          </w:p>
        </w:tc>
        <w:tc>
          <w:tcPr>
            <w:tcW w:w="4608" w:type="dxa"/>
            <w:vAlign w:val="top"/>
          </w:tcPr>
          <w:p>
            <w:pPr>
              <w:pStyle w:val="Normal"/>
              <w:spacing w:before="0" w:after="100"/>
              <w:rPr/>
            </w:pPr>
            <w:r>
              <w:rPr>
                <w:sz w:val="19.0"/>
                <w:szCs w:val="19.0"/>
              </w:rPr>
              <w:t xml:space="preserve">Number of fibers per module</w:t>
            </w:r>
          </w:p>
        </w:tc>
        <w:tc>
          <w:tcPr>
            <w:tcW w:w="3600" w:type="dxa"/>
            <w:vAlign w:val="top"/>
          </w:tcPr>
          <w:p>
            <w:pPr>
              <w:pStyle w:val="Normal"/>
              <w:spacing w:before="0" w:after="100"/>
              <w:rPr/>
            </w:pPr>
            <w:r>
              <w:rPr>
                <w:sz w:val="19.0"/>
                <w:szCs w:val="19.0"/>
              </w:rPr>
              <w:t xml:space="preserve">2,000</w:t>
            </w:r>
          </w:p>
        </w:tc>
      </w:tr>
      <w:tr>
        <w:tc>
          <w:tcPr>
            <w:tcW w:w="1152" w:type="dxa"/>
            <w:vAlign w:val="top"/>
          </w:tcPr>
          <w:p>
            <w:pPr>
              <w:pStyle w:val="Normal"/>
              <w:spacing w:before="0" w:after="100"/>
              <w:shd w:val="clear" w:color="auto" w:fill="F7F9FF"/>
              <w:rPr/>
            </w:pPr>
            <w:r>
              <w:rPr>
                <w:sz w:val="19.0"/>
                <w:szCs w:val="19.0"/>
              </w:rPr>
              <w:t xml:space="preserve">Pe</w:t>
            </w:r>
          </w:p>
        </w:tc>
        <w:tc>
          <w:tcPr>
            <w:tcW w:w="4608" w:type="dxa"/>
            <w:vAlign w:val="top"/>
          </w:tcPr>
          <w:p>
            <w:pPr>
              <w:pStyle w:val="Normal"/>
              <w:spacing w:before="0" w:after="100"/>
              <w:shd w:val="clear" w:color="auto" w:fill="F7F9FF"/>
              <w:rPr/>
            </w:pPr>
            <w:r>
              <w:rPr>
                <w:sz w:val="19.0"/>
                <w:szCs w:val="19.0"/>
              </w:rPr>
              <w:t xml:space="preserve">Peclet number = Re*Sc</w:t>
            </w:r>
          </w:p>
        </w:tc>
        <w:tc>
          <w:tcPr>
            <w:tcW w:w="3600" w:type="dxa"/>
            <w:vAlign w:val="top"/>
          </w:tcPr>
          <w:p>
            <w:pPr>
              <w:pStyle w:val="Normal"/>
              <w:spacing w:before="0" w:after="100"/>
              <w:shd w:val="clear" w:color="auto" w:fill="F7F9FF"/>
              <w:rPr/>
            </w:pPr>
            <w:r>
              <w:rPr>
                <w:sz w:val="19.0"/>
                <w:szCs w:val="19.0"/>
              </w:rPr>
              <w:t xml:space="preserve">31578</w:t>
            </w:r>
          </w:p>
        </w:tc>
      </w:tr>
      <w:tr>
        <w:tc>
          <w:tcPr>
            <w:tcW w:w="1152" w:type="dxa"/>
            <w:vAlign w:val="top"/>
          </w:tcPr>
          <w:p>
            <w:pPr>
              <w:pStyle w:val="Normal"/>
              <w:spacing w:before="0" w:after="100"/>
              <w:rPr/>
            </w:pPr>
            <w:r>
              <w:rPr>
                <w:sz w:val="19.0"/>
                <w:szCs w:val="19.0"/>
              </w:rPr>
              <w:t xml:space="preserve">QL</w:t>
            </w:r>
          </w:p>
        </w:tc>
        <w:tc>
          <w:tcPr>
            <w:tcW w:w="4608" w:type="dxa"/>
            <w:vAlign w:val="top"/>
          </w:tcPr>
          <w:p>
            <w:pPr>
              <w:pStyle w:val="Normal"/>
              <w:spacing w:before="0" w:after="100"/>
              <w:rPr/>
            </w:pPr>
            <w:r>
              <w:rPr>
                <w:sz w:val="19.0"/>
                <w:szCs w:val="19.0"/>
              </w:rPr>
              <w:t xml:space="preserve">Liquid volumetric flow rate</w:t>
            </w:r>
          </w:p>
        </w:tc>
        <w:tc>
          <w:tcPr>
            <w:tcW w:w="3600" w:type="dxa"/>
            <w:vAlign w:val="top"/>
          </w:tcPr>
          <w:p>
            <w:pPr>
              <w:pStyle w:val="Normal"/>
              <w:spacing w:before="0" w:after="100"/>
              <w:rPr/>
            </w:pPr>
            <w:r>
              <w:rPr>
                <w:sz w:val="19.0"/>
                <w:szCs w:val="19.0"/>
              </w:rPr>
              <w:t xml:space="preserve">13.89 cm3/s (pilot)</w:t>
            </w:r>
          </w:p>
        </w:tc>
      </w:tr>
      <w:tr>
        <w:tc>
          <w:tcPr>
            <w:tcW w:w="1152" w:type="dxa"/>
            <w:vAlign w:val="top"/>
          </w:tcPr>
          <w:p>
            <w:pPr>
              <w:pStyle w:val="Normal"/>
              <w:spacing w:before="0" w:after="100"/>
              <w:shd w:val="clear" w:color="auto" w:fill="F7F9FF"/>
              <w:rPr/>
            </w:pPr>
            <w:r>
              <w:rPr>
                <w:sz w:val="19.0"/>
                <w:szCs w:val="19.0"/>
              </w:rPr>
              <w:t xml:space="preserve">Re</w:t>
            </w:r>
          </w:p>
        </w:tc>
        <w:tc>
          <w:tcPr>
            <w:tcW w:w="4608" w:type="dxa"/>
            <w:vAlign w:val="top"/>
          </w:tcPr>
          <w:p>
            <w:pPr>
              <w:pStyle w:val="Normal"/>
              <w:spacing w:before="0" w:after="100"/>
              <w:shd w:val="clear" w:color="auto" w:fill="F7F9FF"/>
              <w:rPr/>
            </w:pPr>
            <w:r>
              <w:rPr>
                <w:sz w:val="19.0"/>
                <w:szCs w:val="19.0"/>
              </w:rPr>
              <w:t xml:space="preserve">Reynolds number = rho*VL*di/mu</w:t>
            </w:r>
          </w:p>
        </w:tc>
        <w:tc>
          <w:tcPr>
            <w:tcW w:w="3600" w:type="dxa"/>
            <w:vAlign w:val="top"/>
          </w:tcPr>
          <w:p>
            <w:pPr>
              <w:pStyle w:val="Normal"/>
              <w:spacing w:before="0" w:after="100"/>
              <w:shd w:val="clear" w:color="auto" w:fill="F7F9FF"/>
              <w:rPr/>
            </w:pPr>
            <w:r>
              <w:rPr>
                <w:sz w:val="19.0"/>
                <w:szCs w:val="19.0"/>
              </w:rPr>
              <w:t xml:space="preserve">18.8 (laminar)</w:t>
            </w:r>
          </w:p>
        </w:tc>
      </w:tr>
      <w:tr>
        <w:tc>
          <w:tcPr>
            <w:tcW w:w="1152" w:type="dxa"/>
            <w:vAlign w:val="top"/>
          </w:tcPr>
          <w:p>
            <w:pPr>
              <w:pStyle w:val="Normal"/>
              <w:spacing w:before="0" w:after="100"/>
              <w:rPr/>
            </w:pPr>
            <w:r>
              <w:rPr>
                <w:sz w:val="19.0"/>
                <w:szCs w:val="19.0"/>
              </w:rPr>
              <w:t xml:space="preserve">rho</w:t>
            </w:r>
          </w:p>
        </w:tc>
        <w:tc>
          <w:tcPr>
            <w:tcW w:w="4608" w:type="dxa"/>
            <w:vAlign w:val="top"/>
          </w:tcPr>
          <w:p>
            <w:pPr>
              <w:pStyle w:val="Normal"/>
              <w:spacing w:before="0" w:after="100"/>
              <w:rPr/>
            </w:pPr>
            <w:r>
              <w:rPr>
                <w:sz w:val="19.0"/>
                <w:szCs w:val="19.0"/>
              </w:rPr>
              <w:t xml:space="preserve">Broth density</w:t>
            </w:r>
          </w:p>
        </w:tc>
        <w:tc>
          <w:tcPr>
            <w:tcW w:w="3600" w:type="dxa"/>
            <w:vAlign w:val="top"/>
          </w:tcPr>
          <w:p>
            <w:pPr>
              <w:pStyle w:val="Normal"/>
              <w:spacing w:before="0" w:after="100"/>
              <w:rPr/>
            </w:pPr>
            <w:r>
              <w:rPr>
                <w:sz w:val="19.0"/>
                <w:szCs w:val="19.0"/>
              </w:rPr>
              <w:t xml:space="preserve">1.02 g/cm3</w:t>
            </w:r>
          </w:p>
        </w:tc>
      </w:tr>
      <w:tr>
        <w:tc>
          <w:tcPr>
            <w:tcW w:w="1152" w:type="dxa"/>
            <w:vAlign w:val="top"/>
          </w:tcPr>
          <w:p>
            <w:pPr>
              <w:pStyle w:val="Normal"/>
              <w:spacing w:before="0" w:after="100"/>
              <w:shd w:val="clear" w:color="auto" w:fill="F7F9FF"/>
              <w:rPr/>
            </w:pPr>
            <w:r>
              <w:rPr>
                <w:sz w:val="19.0"/>
                <w:szCs w:val="19.0"/>
              </w:rPr>
              <w:t xml:space="preserve">Sc</w:t>
            </w:r>
          </w:p>
        </w:tc>
        <w:tc>
          <w:tcPr>
            <w:tcW w:w="4608" w:type="dxa"/>
            <w:vAlign w:val="top"/>
          </w:tcPr>
          <w:p>
            <w:pPr>
              <w:pStyle w:val="Normal"/>
              <w:spacing w:before="0" w:after="100"/>
              <w:shd w:val="clear" w:color="auto" w:fill="F7F9FF"/>
              <w:rPr/>
            </w:pPr>
            <w:r>
              <w:rPr>
                <w:sz w:val="19.0"/>
                <w:szCs w:val="19.0"/>
              </w:rPr>
              <w:t xml:space="preserve">Schmidt number = mu/(rho*D)</w:t>
            </w:r>
          </w:p>
        </w:tc>
        <w:tc>
          <w:tcPr>
            <w:tcW w:w="3600" w:type="dxa"/>
            <w:vAlign w:val="top"/>
          </w:tcPr>
          <w:p>
            <w:pPr>
              <w:pStyle w:val="Normal"/>
              <w:spacing w:before="0" w:after="100"/>
              <w:shd w:val="clear" w:color="auto" w:fill="F7F9FF"/>
              <w:rPr/>
            </w:pPr>
            <w:r>
              <w:rPr>
                <w:sz w:val="19.0"/>
                <w:szCs w:val="19.0"/>
              </w:rPr>
              <w:t xml:space="preserve">1681</w:t>
            </w:r>
          </w:p>
        </w:tc>
      </w:tr>
      <w:tr>
        <w:tc>
          <w:tcPr>
            <w:tcW w:w="1152" w:type="dxa"/>
            <w:vAlign w:val="top"/>
          </w:tcPr>
          <w:p>
            <w:pPr>
              <w:pStyle w:val="Normal"/>
              <w:spacing w:before="0" w:after="100"/>
              <w:rPr/>
            </w:pPr>
            <w:r>
              <w:rPr>
                <w:sz w:val="19.0"/>
                <w:szCs w:val="19.0"/>
              </w:rPr>
              <w:t xml:space="preserve">Sh</w:t>
            </w:r>
          </w:p>
        </w:tc>
        <w:tc>
          <w:tcPr>
            <w:tcW w:w="4608" w:type="dxa"/>
            <w:vAlign w:val="top"/>
          </w:tcPr>
          <w:p>
            <w:pPr>
              <w:pStyle w:val="Normal"/>
              <w:spacing w:before="0" w:after="100"/>
              <w:rPr/>
            </w:pPr>
            <w:r>
              <w:rPr>
                <w:sz w:val="19.0"/>
                <w:szCs w:val="19.0"/>
              </w:rPr>
              <w:t xml:space="preserve">Sherwood number = KL*di/D</w:t>
            </w:r>
          </w:p>
        </w:tc>
        <w:tc>
          <w:tcPr>
            <w:tcW w:w="3600" w:type="dxa"/>
            <w:vAlign w:val="top"/>
          </w:tcPr>
          <w:p>
            <w:pPr>
              <w:pStyle w:val="Normal"/>
              <w:spacing w:before="0" w:after="100"/>
              <w:rPr/>
            </w:pPr>
            <w:r>
              <w:rPr>
                <w:sz w:val="19.0"/>
                <w:szCs w:val="19.0"/>
              </w:rPr>
              <w:t xml:space="preserve">6.47 (this design)</w:t>
            </w:r>
          </w:p>
        </w:tc>
      </w:tr>
      <w:tr>
        <w:tc>
          <w:tcPr>
            <w:tcW w:w="1152" w:type="dxa"/>
            <w:vAlign w:val="top"/>
          </w:tcPr>
          <w:p>
            <w:pPr>
              <w:pStyle w:val="Normal"/>
              <w:spacing w:before="0" w:after="100"/>
              <w:shd w:val="clear" w:color="auto" w:fill="F7F9FF"/>
              <w:rPr/>
            </w:pPr>
            <w:r>
              <w:rPr>
                <w:sz w:val="19.0"/>
                <w:szCs w:val="19.0"/>
              </w:rPr>
              <w:t xml:space="preserve">tw</w:t>
            </w:r>
          </w:p>
        </w:tc>
        <w:tc>
          <w:tcPr>
            <w:tcW w:w="4608" w:type="dxa"/>
            <w:vAlign w:val="top"/>
          </w:tcPr>
          <w:p>
            <w:pPr>
              <w:pStyle w:val="Normal"/>
              <w:spacing w:before="0" w:after="100"/>
              <w:shd w:val="clear" w:color="auto" w:fill="F7F9FF"/>
              <w:rPr/>
            </w:pPr>
            <w:r>
              <w:rPr>
                <w:sz w:val="19.0"/>
                <w:szCs w:val="19.0"/>
              </w:rPr>
              <w:t xml:space="preserve">Fiber wall thickness</w:t>
            </w:r>
          </w:p>
        </w:tc>
        <w:tc>
          <w:tcPr>
            <w:tcW w:w="3600" w:type="dxa"/>
            <w:vAlign w:val="top"/>
          </w:tcPr>
          <w:p>
            <w:pPr>
              <w:pStyle w:val="Normal"/>
              <w:spacing w:before="0" w:after="100"/>
              <w:shd w:val="clear" w:color="auto" w:fill="F7F9FF"/>
              <w:rPr/>
            </w:pPr>
            <w:r>
              <w:rPr>
                <w:sz w:val="19.0"/>
                <w:szCs w:val="19.0"/>
              </w:rPr>
              <w:t xml:space="preserve">0.003 cm</w:t>
            </w:r>
          </w:p>
        </w:tc>
      </w:tr>
      <w:tr>
        <w:tc>
          <w:tcPr>
            <w:tcW w:w="1152" w:type="dxa"/>
            <w:vAlign w:val="top"/>
          </w:tcPr>
          <w:p>
            <w:pPr>
              <w:pStyle w:val="Normal"/>
              <w:spacing w:before="0" w:after="100"/>
              <w:rPr/>
            </w:pPr>
            <w:r>
              <w:rPr>
                <w:sz w:val="19.0"/>
                <w:szCs w:val="19.0"/>
              </w:rPr>
              <w:t xml:space="preserve">VL</w:t>
            </w:r>
          </w:p>
        </w:tc>
        <w:tc>
          <w:tcPr>
            <w:tcW w:w="4608" w:type="dxa"/>
            <w:vAlign w:val="top"/>
          </w:tcPr>
          <w:p>
            <w:pPr>
              <w:pStyle w:val="Normal"/>
              <w:spacing w:before="0" w:after="100"/>
              <w:rPr/>
            </w:pPr>
            <w:r>
              <w:rPr>
                <w:sz w:val="19.0"/>
                <w:szCs w:val="19.0"/>
              </w:rPr>
              <w:t xml:space="preserve">Liquid velocity in fiber lumen</w:t>
            </w:r>
          </w:p>
        </w:tc>
        <w:tc>
          <w:tcPr>
            <w:tcW w:w="3600" w:type="dxa"/>
            <w:vAlign w:val="top"/>
          </w:tcPr>
          <w:p>
            <w:pPr>
              <w:pStyle w:val="Normal"/>
              <w:spacing w:before="0" w:after="100"/>
              <w:rPr/>
            </w:pPr>
            <w:r>
              <w:rPr>
                <w:sz w:val="19.0"/>
                <w:szCs w:val="19.0"/>
              </w:rPr>
              <w:t xml:space="preserve">5.53 cm/s</w:t>
            </w:r>
          </w:p>
        </w:tc>
      </w:tr>
      <w:tr>
        <w:tc>
          <w:tcPr>
            <w:tcW w:w="1152" w:type="dxa"/>
            <w:vAlign w:val="top"/>
          </w:tcPr>
          <w:p>
            <w:pPr>
              <w:pStyle w:val="Normal"/>
              <w:spacing w:before="0" w:after="100"/>
              <w:shd w:val="clear" w:color="auto" w:fill="F7F9FF"/>
              <w:rPr/>
            </w:pPr>
            <w:r>
              <w:rPr>
                <w:sz w:val="19.0"/>
                <w:szCs w:val="19.0"/>
              </w:rPr>
              <w:t xml:space="preserve">eps</w:t>
            </w:r>
          </w:p>
        </w:tc>
        <w:tc>
          <w:tcPr>
            <w:tcW w:w="4608" w:type="dxa"/>
            <w:vAlign w:val="top"/>
          </w:tcPr>
          <w:p>
            <w:pPr>
              <w:pStyle w:val="Normal"/>
              <w:spacing w:before="0" w:after="100"/>
              <w:shd w:val="clear" w:color="auto" w:fill="F7F9FF"/>
              <w:rPr/>
            </w:pPr>
            <w:r>
              <w:rPr>
                <w:sz w:val="19.0"/>
                <w:szCs w:val="19.0"/>
              </w:rPr>
              <w:t xml:space="preserve">Membrane porosity</w:t>
            </w:r>
          </w:p>
        </w:tc>
        <w:tc>
          <w:tcPr>
            <w:tcW w:w="3600" w:type="dxa"/>
            <w:vAlign w:val="top"/>
          </w:tcPr>
          <w:p>
            <w:pPr>
              <w:pStyle w:val="Normal"/>
              <w:spacing w:before="0" w:after="100"/>
              <w:shd w:val="clear" w:color="auto" w:fill="F7F9FF"/>
              <w:rPr/>
            </w:pPr>
            <w:r>
              <w:rPr>
                <w:sz w:val="19.0"/>
                <w:szCs w:val="19.0"/>
              </w:rPr>
              <w:t xml:space="preserve">0.33 (33%)</w:t>
            </w:r>
          </w:p>
        </w:tc>
      </w:tr>
      <w:tr>
        <w:tc>
          <w:tcPr>
            <w:tcW w:w="1152" w:type="dxa"/>
            <w:vAlign w:val="top"/>
          </w:tcPr>
          <w:p>
            <w:pPr>
              <w:pStyle w:val="Normal"/>
              <w:spacing w:before="0" w:after="100"/>
              <w:rPr/>
            </w:pPr>
            <w:r>
              <w:rPr>
                <w:sz w:val="19.0"/>
                <w:szCs w:val="19.0"/>
              </w:rPr>
              <w:t xml:space="preserve">eta</w:t>
            </w:r>
          </w:p>
        </w:tc>
        <w:tc>
          <w:tcPr>
            <w:tcW w:w="4608" w:type="dxa"/>
            <w:vAlign w:val="top"/>
          </w:tcPr>
          <w:p>
            <w:pPr>
              <w:pStyle w:val="Normal"/>
              <w:spacing w:before="0" w:after="100"/>
              <w:rPr/>
            </w:pPr>
            <w:r>
              <w:rPr>
                <w:sz w:val="19.0"/>
                <w:szCs w:val="19.0"/>
              </w:rPr>
              <w:t xml:space="preserve">Fractional recovery</w:t>
            </w:r>
          </w:p>
        </w:tc>
        <w:tc>
          <w:tcPr>
            <w:tcW w:w="3600" w:type="dxa"/>
            <w:vAlign w:val="top"/>
          </w:tcPr>
          <w:p>
            <w:pPr>
              <w:pStyle w:val="Normal"/>
              <w:spacing w:before="0" w:after="100"/>
              <w:rPr/>
            </w:pPr>
            <w:r>
              <w:rPr>
                <w:sz w:val="19.0"/>
                <w:szCs w:val="19.0"/>
              </w:rPr>
              <w:t xml:space="preserve">0.954 (95.4% at 5 modules)</w:t>
            </w:r>
          </w:p>
        </w:tc>
      </w:tr>
    </w:tbl>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Appendix A: Complete Calculation Summary</w:t>
      </w:r>
    </w:p>
    <w:tbl>
      <w:tblPr>
        <w:tblBorders>
          <w:top w:val="single" w:sz="4" w:color="B0BEC5"/>
          <w:left w:val="single" w:sz="4" w:color="B0BEC5"/>
          <w:bottom w:val="single" w:sz="4" w:color="B0BEC5"/>
          <w:right w:val="single" w:sz="4" w:color="B0BEC5"/>
          <w:insideH w:val="single" w:sz="4" w:color="E0E0E0"/>
          <w:insideV w:val="single" w:sz="4" w:color="E0E0E0"/>
        </w:tblBorders>
        <w:tblW w:w="9360" w:type="dxa"/>
      </w:tblPr>
      <w:tblGrid>
        <w:gridCol w:w="576"/>
        <w:gridCol w:w="1584"/>
        <w:gridCol w:w="3600"/>
        <w:gridCol w:w="3600"/>
      </w:tblGrid>
      <w:tr>
        <w:trPr>
          <w:tblHeader/>
        </w:trPr>
        <w:tc>
          <w:tcPr>
            <w:tcW w:w="576" w:type="dxa"/>
            <w:shd w:val="clear" w:color="auto" w:fill="1A4D8F"/>
            <w:vAlign w:val="top"/>
          </w:tcPr>
          <w:p>
            <w:pPr>
              <w:pStyle w:val="Normal"/>
              <w:spacing w:before="0" w:after="100"/>
              <w:shd w:val="clear" w:color="auto" w:fill="1A4D8F"/>
              <w:rPr/>
            </w:pPr>
            <w:r>
              <w:rPr>
                <w:sz w:val="20"/>
                <w:szCs w:val="20"/>
                <w:b/>
                <w:bCs/>
                <w:color w:val="FFFFFF"/>
              </w:rPr>
              <w:t xml:space="preserve">Step</w:t>
            </w:r>
          </w:p>
        </w:tc>
        <w:tc>
          <w:tcPr>
            <w:tcW w:w="1584" w:type="dxa"/>
            <w:shd w:val="clear" w:color="auto" w:fill="1A4D8F"/>
            <w:vAlign w:val="top"/>
          </w:tcPr>
          <w:p>
            <w:pPr>
              <w:pStyle w:val="Normal"/>
              <w:spacing w:before="0" w:after="100"/>
              <w:shd w:val="clear" w:color="auto" w:fill="1A4D8F"/>
              <w:rPr/>
            </w:pPr>
            <w:r>
              <w:rPr>
                <w:sz w:val="20"/>
                <w:szCs w:val="20"/>
                <w:b/>
                <w:bCs/>
                <w:color w:val="FFFFFF"/>
              </w:rPr>
              <w:t xml:space="preserve">Quantity</w:t>
            </w:r>
          </w:p>
        </w:tc>
        <w:tc>
          <w:tcPr>
            <w:tcW w:w="3600" w:type="dxa"/>
            <w:shd w:val="clear" w:color="auto" w:fill="1A4D8F"/>
            <w:vAlign w:val="top"/>
          </w:tcPr>
          <w:p>
            <w:pPr>
              <w:pStyle w:val="Normal"/>
              <w:spacing w:before="0" w:after="100"/>
              <w:shd w:val="clear" w:color="auto" w:fill="1A4D8F"/>
              <w:rPr/>
            </w:pPr>
            <w:r>
              <w:rPr>
                <w:sz w:val="20"/>
                <w:szCs w:val="20"/>
                <w:b/>
                <w:bCs/>
                <w:color w:val="FFFFFF"/>
              </w:rPr>
              <w:t xml:space="preserve">Equation</w:t>
            </w:r>
          </w:p>
        </w:tc>
        <w:tc>
          <w:tcPr>
            <w:tcW w:w="3600" w:type="dxa"/>
            <w:shd w:val="clear" w:color="auto" w:fill="1A4D8F"/>
            <w:vAlign w:val="top"/>
          </w:tcPr>
          <w:p>
            <w:pPr>
              <w:pStyle w:val="Normal"/>
              <w:spacing w:before="0" w:after="100"/>
              <w:shd w:val="clear" w:color="auto" w:fill="1A4D8F"/>
              <w:rPr/>
            </w:pPr>
            <w:r>
              <w:rPr>
                <w:sz w:val="20"/>
                <w:szCs w:val="20"/>
                <w:b/>
                <w:bCs/>
                <w:color w:val="FFFFFF"/>
              </w:rPr>
              <w:t xml:space="preserve">Result</w:t>
            </w:r>
          </w:p>
        </w:tc>
      </w:tr>
      <w:tr>
        <w:tc>
          <w:tcPr>
            <w:tcW w:w="576" w:type="dxa"/>
            <w:vAlign w:val="top"/>
          </w:tcPr>
          <w:p>
            <w:pPr>
              <w:pStyle w:val="Normal"/>
              <w:spacing w:before="0" w:after="100"/>
              <w:rPr/>
            </w:pPr>
            <w:r>
              <w:rPr>
                <w:sz w:val="19.0"/>
                <w:szCs w:val="19.0"/>
              </w:rPr>
              <w:t xml:space="preserve">1</w:t>
            </w:r>
          </w:p>
        </w:tc>
        <w:tc>
          <w:tcPr>
            <w:tcW w:w="1584" w:type="dxa"/>
            <w:vAlign w:val="top"/>
          </w:tcPr>
          <w:p>
            <w:pPr>
              <w:pStyle w:val="Normal"/>
              <w:spacing w:before="0" w:after="100"/>
              <w:rPr/>
            </w:pPr>
            <w:r>
              <w:rPr>
                <w:sz w:val="19.0"/>
                <w:szCs w:val="19.0"/>
              </w:rPr>
              <w:t xml:space="preserve">A_cross</w:t>
            </w:r>
          </w:p>
        </w:tc>
        <w:tc>
          <w:tcPr>
            <w:tcW w:w="3600" w:type="dxa"/>
            <w:vAlign w:val="top"/>
          </w:tcPr>
          <w:p>
            <w:pPr>
              <w:pStyle w:val="Normal"/>
              <w:spacing w:before="0" w:after="100"/>
              <w:rPr/>
            </w:pPr>
            <w:r>
              <w:rPr>
                <w:sz w:val="19.0"/>
                <w:szCs w:val="19.0"/>
              </w:rPr>
              <w:t xml:space="preserve">N*pi*(di/2)^2</w:t>
            </w:r>
          </w:p>
        </w:tc>
        <w:tc>
          <w:tcPr>
            <w:tcW w:w="3600" w:type="dxa"/>
            <w:vAlign w:val="top"/>
          </w:tcPr>
          <w:p>
            <w:pPr>
              <w:pStyle w:val="Normal"/>
              <w:spacing w:before="0" w:after="100"/>
              <w:rPr/>
            </w:pPr>
            <w:r>
              <w:rPr>
                <w:sz w:val="19.0"/>
                <w:szCs w:val="19.0"/>
              </w:rPr>
              <w:t xml:space="preserve">2.5133 cm2</w:t>
            </w:r>
          </w:p>
        </w:tc>
      </w:tr>
      <w:tr>
        <w:tc>
          <w:tcPr>
            <w:tcW w:w="576" w:type="dxa"/>
            <w:vAlign w:val="top"/>
          </w:tcPr>
          <w:p>
            <w:pPr>
              <w:pStyle w:val="Normal"/>
              <w:spacing w:before="0" w:after="100"/>
              <w:shd w:val="clear" w:color="auto" w:fill="F7F9FF"/>
              <w:rPr/>
            </w:pPr>
            <w:r>
              <w:rPr>
                <w:sz w:val="19.0"/>
                <w:szCs w:val="19.0"/>
              </w:rPr>
              <w:t xml:space="preserve">2</w:t>
            </w:r>
          </w:p>
        </w:tc>
        <w:tc>
          <w:tcPr>
            <w:tcW w:w="1584" w:type="dxa"/>
            <w:vAlign w:val="top"/>
          </w:tcPr>
          <w:p>
            <w:pPr>
              <w:pStyle w:val="Normal"/>
              <w:spacing w:before="0" w:after="100"/>
              <w:shd w:val="clear" w:color="auto" w:fill="F7F9FF"/>
              <w:rPr/>
            </w:pPr>
            <w:r>
              <w:rPr>
                <w:sz w:val="19.0"/>
                <w:szCs w:val="19.0"/>
              </w:rPr>
              <w:t xml:space="preserve">VL</w:t>
            </w:r>
          </w:p>
        </w:tc>
        <w:tc>
          <w:tcPr>
            <w:tcW w:w="3600" w:type="dxa"/>
            <w:vAlign w:val="top"/>
          </w:tcPr>
          <w:p>
            <w:pPr>
              <w:pStyle w:val="Normal"/>
              <w:spacing w:before="0" w:after="100"/>
              <w:shd w:val="clear" w:color="auto" w:fill="F7F9FF"/>
              <w:rPr/>
            </w:pPr>
            <w:r>
              <w:rPr>
                <w:sz w:val="19.0"/>
                <w:szCs w:val="19.0"/>
              </w:rPr>
              <w:t xml:space="preserve">QL / A_cross</w:t>
            </w:r>
          </w:p>
        </w:tc>
        <w:tc>
          <w:tcPr>
            <w:tcW w:w="3600" w:type="dxa"/>
            <w:vAlign w:val="top"/>
          </w:tcPr>
          <w:p>
            <w:pPr>
              <w:pStyle w:val="Normal"/>
              <w:spacing w:before="0" w:after="100"/>
              <w:shd w:val="clear" w:color="auto" w:fill="F7F9FF"/>
              <w:rPr/>
            </w:pPr>
            <w:r>
              <w:rPr>
                <w:sz w:val="19.0"/>
                <w:szCs w:val="19.0"/>
              </w:rPr>
              <w:t xml:space="preserve">5.53 cm/s</w:t>
            </w:r>
          </w:p>
        </w:tc>
      </w:tr>
      <w:tr>
        <w:tc>
          <w:tcPr>
            <w:tcW w:w="576" w:type="dxa"/>
            <w:vAlign w:val="top"/>
          </w:tcPr>
          <w:p>
            <w:pPr>
              <w:pStyle w:val="Normal"/>
              <w:spacing w:before="0" w:after="100"/>
              <w:rPr/>
            </w:pPr>
            <w:r>
              <w:rPr>
                <w:sz w:val="19.0"/>
                <w:szCs w:val="19.0"/>
              </w:rPr>
              <w:t xml:space="preserve">3</w:t>
            </w:r>
          </w:p>
        </w:tc>
        <w:tc>
          <w:tcPr>
            <w:tcW w:w="1584" w:type="dxa"/>
            <w:vAlign w:val="top"/>
          </w:tcPr>
          <w:p>
            <w:pPr>
              <w:pStyle w:val="Normal"/>
              <w:spacing w:before="0" w:after="100"/>
              <w:rPr/>
            </w:pPr>
            <w:r>
              <w:rPr>
                <w:sz w:val="19.0"/>
                <w:szCs w:val="19.0"/>
              </w:rPr>
              <w:t xml:space="preserve">Re</w:t>
            </w:r>
          </w:p>
        </w:tc>
        <w:tc>
          <w:tcPr>
            <w:tcW w:w="3600" w:type="dxa"/>
            <w:vAlign w:val="top"/>
          </w:tcPr>
          <w:p>
            <w:pPr>
              <w:pStyle w:val="Normal"/>
              <w:spacing w:before="0" w:after="100"/>
              <w:rPr/>
            </w:pPr>
            <w:r>
              <w:rPr>
                <w:sz w:val="19.0"/>
                <w:szCs w:val="19.0"/>
              </w:rPr>
              <w:t xml:space="preserve">rho*VL*di / mu</w:t>
            </w:r>
          </w:p>
        </w:tc>
        <w:tc>
          <w:tcPr>
            <w:tcW w:w="3600" w:type="dxa"/>
            <w:vAlign w:val="top"/>
          </w:tcPr>
          <w:p>
            <w:pPr>
              <w:pStyle w:val="Normal"/>
              <w:spacing w:before="0" w:after="100"/>
              <w:rPr/>
            </w:pPr>
            <w:r>
              <w:rPr>
                <w:sz w:val="19.0"/>
                <w:szCs w:val="19.0"/>
              </w:rPr>
              <w:t xml:space="preserve">18.8  (laminar)</w:t>
            </w:r>
          </w:p>
        </w:tc>
      </w:tr>
      <w:tr>
        <w:tc>
          <w:tcPr>
            <w:tcW w:w="576" w:type="dxa"/>
            <w:vAlign w:val="top"/>
          </w:tcPr>
          <w:p>
            <w:pPr>
              <w:pStyle w:val="Normal"/>
              <w:spacing w:before="0" w:after="100"/>
              <w:shd w:val="clear" w:color="auto" w:fill="F7F9FF"/>
              <w:rPr/>
            </w:pPr>
            <w:r>
              <w:rPr>
                <w:sz w:val="19.0"/>
                <w:szCs w:val="19.0"/>
              </w:rPr>
              <w:t xml:space="preserve">4</w:t>
            </w:r>
          </w:p>
        </w:tc>
        <w:tc>
          <w:tcPr>
            <w:tcW w:w="1584" w:type="dxa"/>
            <w:vAlign w:val="top"/>
          </w:tcPr>
          <w:p>
            <w:pPr>
              <w:pStyle w:val="Normal"/>
              <w:spacing w:before="0" w:after="100"/>
              <w:shd w:val="clear" w:color="auto" w:fill="F7F9FF"/>
              <w:rPr/>
            </w:pPr>
            <w:r>
              <w:rPr>
                <w:sz w:val="19.0"/>
                <w:szCs w:val="19.0"/>
              </w:rPr>
              <w:t xml:space="preserve">Sc</w:t>
            </w:r>
          </w:p>
        </w:tc>
        <w:tc>
          <w:tcPr>
            <w:tcW w:w="3600" w:type="dxa"/>
            <w:vAlign w:val="top"/>
          </w:tcPr>
          <w:p>
            <w:pPr>
              <w:pStyle w:val="Normal"/>
              <w:spacing w:before="0" w:after="100"/>
              <w:shd w:val="clear" w:color="auto" w:fill="F7F9FF"/>
              <w:rPr/>
            </w:pPr>
            <w:r>
              <w:rPr>
                <w:sz w:val="19.0"/>
                <w:szCs w:val="19.0"/>
              </w:rPr>
              <w:t xml:space="preserve">mu / (rho*D)</w:t>
            </w:r>
          </w:p>
        </w:tc>
        <w:tc>
          <w:tcPr>
            <w:tcW w:w="3600" w:type="dxa"/>
            <w:vAlign w:val="top"/>
          </w:tcPr>
          <w:p>
            <w:pPr>
              <w:pStyle w:val="Normal"/>
              <w:spacing w:before="0" w:after="100"/>
              <w:shd w:val="clear" w:color="auto" w:fill="F7F9FF"/>
              <w:rPr/>
            </w:pPr>
            <w:r>
              <w:rPr>
                <w:sz w:val="19.0"/>
                <w:szCs w:val="19.0"/>
              </w:rPr>
              <w:t xml:space="preserve">1681</w:t>
            </w:r>
          </w:p>
        </w:tc>
      </w:tr>
      <w:tr>
        <w:tc>
          <w:tcPr>
            <w:tcW w:w="576" w:type="dxa"/>
            <w:vAlign w:val="top"/>
          </w:tcPr>
          <w:p>
            <w:pPr>
              <w:pStyle w:val="Normal"/>
              <w:spacing w:before="0" w:after="100"/>
              <w:rPr/>
            </w:pPr>
            <w:r>
              <w:rPr>
                <w:sz w:val="19.0"/>
                <w:szCs w:val="19.0"/>
              </w:rPr>
              <w:t xml:space="preserve">5</w:t>
            </w:r>
          </w:p>
        </w:tc>
        <w:tc>
          <w:tcPr>
            <w:tcW w:w="1584" w:type="dxa"/>
            <w:vAlign w:val="top"/>
          </w:tcPr>
          <w:p>
            <w:pPr>
              <w:pStyle w:val="Normal"/>
              <w:spacing w:before="0" w:after="100"/>
              <w:rPr/>
            </w:pPr>
            <w:r>
              <w:rPr>
                <w:sz w:val="19.0"/>
                <w:szCs w:val="19.0"/>
              </w:rPr>
              <w:t xml:space="preserve">Gz</w:t>
            </w:r>
          </w:p>
        </w:tc>
        <w:tc>
          <w:tcPr>
            <w:tcW w:w="3600" w:type="dxa"/>
            <w:vAlign w:val="top"/>
          </w:tcPr>
          <w:p>
            <w:pPr>
              <w:pStyle w:val="Normal"/>
              <w:spacing w:before="0" w:after="100"/>
              <w:rPr/>
            </w:pPr>
            <w:r>
              <w:rPr>
                <w:sz w:val="19.0"/>
                <w:szCs w:val="19.0"/>
              </w:rPr>
              <w:t xml:space="preserve">Re*Sc*(di/L)</w:t>
            </w:r>
          </w:p>
        </w:tc>
        <w:tc>
          <w:tcPr>
            <w:tcW w:w="3600" w:type="dxa"/>
            <w:vAlign w:val="top"/>
          </w:tcPr>
          <w:p>
            <w:pPr>
              <w:pStyle w:val="Normal"/>
              <w:spacing w:before="0" w:after="100"/>
              <w:rPr/>
            </w:pPr>
            <w:r>
              <w:rPr>
                <w:sz w:val="19.0"/>
                <w:szCs w:val="19.0"/>
              </w:rPr>
              <w:t xml:space="preserve">42.10</w:t>
            </w:r>
          </w:p>
        </w:tc>
      </w:tr>
      <w:tr>
        <w:tc>
          <w:tcPr>
            <w:tcW w:w="576" w:type="dxa"/>
            <w:vAlign w:val="top"/>
          </w:tcPr>
          <w:p>
            <w:pPr>
              <w:pStyle w:val="Normal"/>
              <w:spacing w:before="0" w:after="100"/>
              <w:shd w:val="clear" w:color="auto" w:fill="F7F9FF"/>
              <w:rPr/>
            </w:pPr>
            <w:r>
              <w:rPr>
                <w:sz w:val="19.0"/>
                <w:szCs w:val="19.0"/>
              </w:rPr>
              <w:t xml:space="preserve">6</w:t>
            </w:r>
          </w:p>
        </w:tc>
        <w:tc>
          <w:tcPr>
            <w:tcW w:w="1584" w:type="dxa"/>
            <w:vAlign w:val="top"/>
          </w:tcPr>
          <w:p>
            <w:pPr>
              <w:pStyle w:val="Normal"/>
              <w:spacing w:before="0" w:after="100"/>
              <w:shd w:val="clear" w:color="auto" w:fill="F7F9FF"/>
              <w:rPr/>
            </w:pPr>
            <w:r>
              <w:rPr>
                <w:sz w:val="19.0"/>
                <w:szCs w:val="19.0"/>
              </w:rPr>
              <w:t xml:space="preserve">Sh</w:t>
            </w:r>
          </w:p>
        </w:tc>
        <w:tc>
          <w:tcPr>
            <w:tcW w:w="3600" w:type="dxa"/>
            <w:vAlign w:val="top"/>
          </w:tcPr>
          <w:p>
            <w:pPr>
              <w:pStyle w:val="Normal"/>
              <w:spacing w:before="0" w:after="100"/>
              <w:shd w:val="clear" w:color="auto" w:fill="F7F9FF"/>
              <w:rPr/>
            </w:pPr>
            <w:r>
              <w:rPr>
                <w:sz w:val="19.0"/>
                <w:szCs w:val="19.0"/>
              </w:rPr>
              <w:t xml:space="preserve">1.86 * Gz^(1/3)</w:t>
            </w:r>
          </w:p>
        </w:tc>
        <w:tc>
          <w:tcPr>
            <w:tcW w:w="3600" w:type="dxa"/>
            <w:vAlign w:val="top"/>
          </w:tcPr>
          <w:p>
            <w:pPr>
              <w:pStyle w:val="Normal"/>
              <w:spacing w:before="0" w:after="100"/>
              <w:shd w:val="clear" w:color="auto" w:fill="F7F9FF"/>
              <w:rPr/>
            </w:pPr>
            <w:r>
              <w:rPr>
                <w:sz w:val="19.0"/>
                <w:szCs w:val="19.0"/>
              </w:rPr>
              <w:t xml:space="preserve">6.47</w:t>
            </w:r>
          </w:p>
        </w:tc>
      </w:tr>
      <w:tr>
        <w:tc>
          <w:tcPr>
            <w:tcW w:w="576" w:type="dxa"/>
            <w:vAlign w:val="top"/>
          </w:tcPr>
          <w:p>
            <w:pPr>
              <w:pStyle w:val="Normal"/>
              <w:spacing w:before="0" w:after="100"/>
              <w:rPr/>
            </w:pPr>
            <w:r>
              <w:rPr>
                <w:sz w:val="19.0"/>
                <w:szCs w:val="19.0"/>
              </w:rPr>
              <w:t xml:space="preserve">7</w:t>
            </w:r>
          </w:p>
        </w:tc>
        <w:tc>
          <w:tcPr>
            <w:tcW w:w="1584" w:type="dxa"/>
            <w:vAlign w:val="top"/>
          </w:tcPr>
          <w:p>
            <w:pPr>
              <w:pStyle w:val="Normal"/>
              <w:spacing w:before="0" w:after="100"/>
              <w:rPr/>
            </w:pPr>
            <w:r>
              <w:rPr>
                <w:sz w:val="19.0"/>
                <w:szCs w:val="19.0"/>
              </w:rPr>
              <w:t xml:space="preserve">KL</w:t>
            </w:r>
          </w:p>
        </w:tc>
        <w:tc>
          <w:tcPr>
            <w:tcW w:w="3600" w:type="dxa"/>
            <w:vAlign w:val="top"/>
          </w:tcPr>
          <w:p>
            <w:pPr>
              <w:pStyle w:val="Normal"/>
              <w:spacing w:before="0" w:after="100"/>
              <w:rPr/>
            </w:pPr>
            <w:r>
              <w:rPr>
                <w:sz w:val="19.0"/>
                <w:szCs w:val="19.0"/>
              </w:rPr>
              <w:t xml:space="preserve">Sh * D / di</w:t>
            </w:r>
          </w:p>
        </w:tc>
        <w:tc>
          <w:tcPr>
            <w:tcW w:w="3600" w:type="dxa"/>
            <w:vAlign w:val="top"/>
          </w:tcPr>
          <w:p>
            <w:pPr>
              <w:pStyle w:val="Normal"/>
              <w:spacing w:before="0" w:after="100"/>
              <w:rPr/>
            </w:pPr>
            <w:r>
              <w:rPr>
                <w:sz w:val="19.0"/>
                <w:szCs w:val="19.0"/>
              </w:rPr>
              <w:t xml:space="preserve">1.1324e-03 cm/s</w:t>
            </w:r>
          </w:p>
        </w:tc>
      </w:tr>
      <w:tr>
        <w:tc>
          <w:tcPr>
            <w:tcW w:w="576" w:type="dxa"/>
            <w:vAlign w:val="top"/>
          </w:tcPr>
          <w:p>
            <w:pPr>
              <w:pStyle w:val="Normal"/>
              <w:spacing w:before="0" w:after="100"/>
              <w:shd w:val="clear" w:color="auto" w:fill="F7F9FF"/>
              <w:rPr/>
            </w:pPr>
            <w:r>
              <w:rPr>
                <w:sz w:val="19.0"/>
                <w:szCs w:val="19.0"/>
              </w:rPr>
              <w:t xml:space="preserve">8</w:t>
            </w:r>
          </w:p>
        </w:tc>
        <w:tc>
          <w:tcPr>
            <w:tcW w:w="1584" w:type="dxa"/>
            <w:vAlign w:val="top"/>
          </w:tcPr>
          <w:p>
            <w:pPr>
              <w:pStyle w:val="Normal"/>
              <w:spacing w:before="0" w:after="100"/>
              <w:shd w:val="clear" w:color="auto" w:fill="F7F9FF"/>
              <w:rPr/>
            </w:pPr>
            <w:r>
              <w:rPr>
                <w:sz w:val="19.0"/>
                <w:szCs w:val="19.0"/>
              </w:rPr>
              <w:t xml:space="preserve">A_module</w:t>
            </w:r>
          </w:p>
        </w:tc>
        <w:tc>
          <w:tcPr>
            <w:tcW w:w="3600" w:type="dxa"/>
            <w:vAlign w:val="top"/>
          </w:tcPr>
          <w:p>
            <w:pPr>
              <w:pStyle w:val="Normal"/>
              <w:spacing w:before="0" w:after="100"/>
              <w:shd w:val="clear" w:color="auto" w:fill="F7F9FF"/>
              <w:rPr/>
            </w:pPr>
            <w:r>
              <w:rPr>
                <w:sz w:val="19.0"/>
                <w:szCs w:val="19.0"/>
              </w:rPr>
              <w:t xml:space="preserve">N * pi * di * L</w:t>
            </w:r>
          </w:p>
        </w:tc>
        <w:tc>
          <w:tcPr>
            <w:tcW w:w="3600" w:type="dxa"/>
            <w:vAlign w:val="top"/>
          </w:tcPr>
          <w:p>
            <w:pPr>
              <w:pStyle w:val="Normal"/>
              <w:spacing w:before="0" w:after="100"/>
              <w:shd w:val="clear" w:color="auto" w:fill="F7F9FF"/>
              <w:rPr/>
            </w:pPr>
            <w:r>
              <w:rPr>
                <w:sz w:val="19.0"/>
                <w:szCs w:val="19.0"/>
              </w:rPr>
              <w:t xml:space="preserve">7540 cm2 (0.7540 m2)</w:t>
            </w:r>
          </w:p>
        </w:tc>
      </w:tr>
      <w:tr>
        <w:tc>
          <w:tcPr>
            <w:tcW w:w="576" w:type="dxa"/>
            <w:vAlign w:val="top"/>
          </w:tcPr>
          <w:p>
            <w:pPr>
              <w:pStyle w:val="Normal"/>
              <w:spacing w:before="0" w:after="100"/>
              <w:rPr/>
            </w:pPr>
            <w:r>
              <w:rPr>
                <w:sz w:val="19.0"/>
                <w:szCs w:val="19.0"/>
              </w:rPr>
              <w:t xml:space="preserve">9</w:t>
            </w:r>
          </w:p>
        </w:tc>
        <w:tc>
          <w:tcPr>
            <w:tcW w:w="1584" w:type="dxa"/>
            <w:vAlign w:val="top"/>
          </w:tcPr>
          <w:p>
            <w:pPr>
              <w:pStyle w:val="Normal"/>
              <w:spacing w:before="0" w:after="100"/>
              <w:rPr/>
            </w:pPr>
            <w:r>
              <w:rPr>
                <w:sz w:val="19.0"/>
                <w:szCs w:val="19.0"/>
              </w:rPr>
              <w:t xml:space="preserve">eta_single</w:t>
            </w:r>
          </w:p>
        </w:tc>
        <w:tc>
          <w:tcPr>
            <w:tcW w:w="3600" w:type="dxa"/>
            <w:vAlign w:val="top"/>
          </w:tcPr>
          <w:p>
            <w:pPr>
              <w:pStyle w:val="Normal"/>
              <w:spacing w:before="0" w:after="100"/>
              <w:rPr/>
            </w:pPr>
            <w:r>
              <w:rPr>
                <w:sz w:val="19.0"/>
                <w:szCs w:val="19.0"/>
              </w:rPr>
              <w:t xml:space="preserve">1 - exp(-KL*A/QL)</w:t>
            </w:r>
          </w:p>
        </w:tc>
        <w:tc>
          <w:tcPr>
            <w:tcW w:w="3600" w:type="dxa"/>
            <w:vAlign w:val="top"/>
          </w:tcPr>
          <w:p>
            <w:pPr>
              <w:pStyle w:val="Normal"/>
              <w:spacing w:before="0" w:after="100"/>
              <w:rPr/>
            </w:pPr>
            <w:r>
              <w:rPr>
                <w:sz w:val="19.0"/>
                <w:szCs w:val="19.0"/>
              </w:rPr>
              <w:t xml:space="preserve">45.9%</w:t>
            </w:r>
          </w:p>
        </w:tc>
      </w:tr>
      <w:tr>
        <w:tc>
          <w:tcPr>
            <w:tcW w:w="576" w:type="dxa"/>
            <w:vAlign w:val="top"/>
          </w:tcPr>
          <w:p>
            <w:pPr>
              <w:pStyle w:val="Normal"/>
              <w:spacing w:before="0" w:after="100"/>
              <w:shd w:val="clear" w:color="auto" w:fill="E8F5E9"/>
              <w:rPr/>
            </w:pPr>
            <w:r>
              <w:rPr>
                <w:sz w:val="19.0"/>
                <w:szCs w:val="19.0"/>
                <w:b/>
                <w:bCs/>
                <w:color w:val="2E7D32"/>
              </w:rPr>
              <w:t xml:space="preserve">10</w:t>
            </w:r>
          </w:p>
        </w:tc>
        <w:tc>
          <w:tcPr>
            <w:tcW w:w="1584" w:type="dxa"/>
            <w:vAlign w:val="top"/>
          </w:tcPr>
          <w:p>
            <w:pPr>
              <w:pStyle w:val="Normal"/>
              <w:spacing w:before="0" w:after="100"/>
              <w:shd w:val="clear" w:color="auto" w:fill="E8F5E9"/>
              <w:rPr/>
            </w:pPr>
            <w:r>
              <w:rPr>
                <w:sz w:val="19.0"/>
                <w:szCs w:val="19.0"/>
                <w:b/>
                <w:bCs/>
                <w:color w:val="2E7D32"/>
              </w:rPr>
              <w:t xml:space="preserve">n_series</w:t>
            </w:r>
          </w:p>
        </w:tc>
        <w:tc>
          <w:tcPr>
            <w:tcW w:w="3600" w:type="dxa"/>
            <w:vAlign w:val="top"/>
          </w:tcPr>
          <w:p>
            <w:pPr>
              <w:pStyle w:val="Normal"/>
              <w:spacing w:before="0" w:after="100"/>
              <w:shd w:val="clear" w:color="auto" w:fill="E8F5E9"/>
              <w:rPr/>
            </w:pPr>
            <w:r>
              <w:rPr>
                <w:sz w:val="19.0"/>
                <w:szCs w:val="19.0"/>
                <w:b/>
                <w:bCs/>
                <w:color w:val="2E7D32"/>
              </w:rPr>
              <w:t xml:space="preserve">ceil[ln(0.05)/ln(1-eta_single)]</w:t>
            </w:r>
          </w:p>
        </w:tc>
        <w:tc>
          <w:tcPr>
            <w:tcW w:w="3600" w:type="dxa"/>
            <w:vAlign w:val="top"/>
          </w:tcPr>
          <w:p>
            <w:pPr>
              <w:pStyle w:val="Normal"/>
              <w:spacing w:before="0" w:after="100"/>
              <w:shd w:val="clear" w:color="auto" w:fill="E8F5E9"/>
              <w:rPr/>
            </w:pPr>
            <w:r>
              <w:rPr>
                <w:sz w:val="19.0"/>
                <w:szCs w:val="19.0"/>
                <w:b/>
                <w:bCs/>
                <w:color w:val="2E7D32"/>
              </w:rPr>
              <w:t xml:space="preserve">5 modules</w:t>
            </w:r>
          </w:p>
        </w:tc>
      </w:tr>
      <w:tr>
        <w:tc>
          <w:tcPr>
            <w:tcW w:w="576" w:type="dxa"/>
            <w:vAlign w:val="top"/>
          </w:tcPr>
          <w:p>
            <w:pPr>
              <w:pStyle w:val="Normal"/>
              <w:spacing w:before="0" w:after="100"/>
              <w:shd w:val="clear" w:color="auto" w:fill="E8F5E9"/>
              <w:rPr/>
            </w:pPr>
            <w:r>
              <w:rPr>
                <w:sz w:val="19.0"/>
                <w:szCs w:val="19.0"/>
                <w:b/>
                <w:bCs/>
                <w:color w:val="2E7D32"/>
              </w:rPr>
              <w:t xml:space="preserve">11</w:t>
            </w:r>
          </w:p>
        </w:tc>
        <w:tc>
          <w:tcPr>
            <w:tcW w:w="1584" w:type="dxa"/>
            <w:vAlign w:val="top"/>
          </w:tcPr>
          <w:p>
            <w:pPr>
              <w:pStyle w:val="Normal"/>
              <w:spacing w:before="0" w:after="100"/>
              <w:shd w:val="clear" w:color="auto" w:fill="E8F5E9"/>
              <w:rPr/>
            </w:pPr>
            <w:r>
              <w:rPr>
                <w:sz w:val="19.0"/>
                <w:szCs w:val="19.0"/>
                <w:b/>
                <w:bCs/>
                <w:color w:val="2E7D32"/>
              </w:rPr>
              <w:t xml:space="preserve">eta_total</w:t>
            </w:r>
          </w:p>
        </w:tc>
        <w:tc>
          <w:tcPr>
            <w:tcW w:w="3600" w:type="dxa"/>
            <w:vAlign w:val="top"/>
          </w:tcPr>
          <w:p>
            <w:pPr>
              <w:pStyle w:val="Normal"/>
              <w:spacing w:before="0" w:after="100"/>
              <w:shd w:val="clear" w:color="auto" w:fill="E8F5E9"/>
              <w:rPr/>
            </w:pPr>
            <w:r>
              <w:rPr>
                <w:sz w:val="19.0"/>
                <w:szCs w:val="19.0"/>
                <w:b/>
                <w:bCs/>
                <w:color w:val="2E7D32"/>
              </w:rPr>
              <w:t xml:space="preserve">1 - (0.541)^5</w:t>
            </w:r>
          </w:p>
        </w:tc>
        <w:tc>
          <w:tcPr>
            <w:tcW w:w="3600" w:type="dxa"/>
            <w:vAlign w:val="top"/>
          </w:tcPr>
          <w:p>
            <w:pPr>
              <w:pStyle w:val="Normal"/>
              <w:spacing w:before="0" w:after="100"/>
              <w:shd w:val="clear" w:color="auto" w:fill="E8F5E9"/>
              <w:rPr/>
            </w:pPr>
            <w:r>
              <w:rPr>
                <w:sz w:val="19.0"/>
                <w:szCs w:val="19.0"/>
                <w:b/>
                <w:bCs/>
                <w:color w:val="2E7D32"/>
              </w:rPr>
              <w:t xml:space="preserve">95.4%</w:t>
            </w:r>
          </w:p>
        </w:tc>
      </w:tr>
    </w:tbl>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Appendix B: MATLAB Design Code</w:t>
      </w:r>
    </w:p>
    <w:p>
      <w:pPr>
        <w:pStyle w:val="Normal"/>
        <w:spacing w:before="0" w:after="100"/>
        <w:rPr/>
      </w:pPr>
      <w:r>
        <w:rPr>
          <w:sz w:val="22"/>
          <w:szCs w:val="22"/>
        </w:rPr>
        <w:t xml:space="preserve">The following MATLAB script reproduces all calculations and serves as a validation tool or starting point for parameter sensitivity studies.</w:t>
      </w:r>
    </w:p>
    <w:p>
      <w:pPr>
        <w:pStyle w:val="Normal"/>
        <w:spacing w:before="0" w:after="0"/>
        <w:ind w:left="360"/>
        <w:shd w:val="clear" w:color="auto" w:fill="1E272E"/>
        <w:rPr/>
      </w:pPr>
      <w:r>
        <w:rPr>
          <w:rFonts w:ascii="Courier New" w:hAnsi="Courier New" w:cs="Courier New"/>
          <w:sz w:val="18"/>
          <w:szCs w:val="18"/>
          <w:color w:val="ECEFF1"/>
        </w:rPr>
        <w:t xml:space="preserve">% BioForge Stage 2 -- Hollow Fiber Contactor Design</w:t>
      </w:r>
    </w:p>
    <w:p>
      <w:pPr>
        <w:pStyle w:val="Normal"/>
        <w:spacing w:before="0" w:after="0"/>
        <w:ind w:left="360"/>
        <w:shd w:val="clear" w:color="auto" w:fill="1E272E"/>
        <w:rPr/>
      </w:pPr>
      <w:r>
        <w:rPr>
          <w:rFonts w:ascii="Courier New" w:hAnsi="Courier New" w:cs="Courier New"/>
          <w:sz w:val="18"/>
          <w:szCs w:val="18"/>
          <w:color w:val="ECEFF1"/>
        </w:rPr>
        <w:t xml:space="preserve">% Citric Acid Recovery from Yam Peel Fermentation Broth</w:t>
      </w:r>
    </w:p>
    <w:p>
      <w:pPr>
        <w:pStyle w:val="Normal"/>
        <w:spacing w:before="0" w:after="0"/>
        <w:ind w:left="360"/>
        <w:shd w:val="clear" w:color="auto" w:fill="1E272E"/>
        <w:rPr/>
      </w:pPr>
      <w:r>
        <w:rPr>
          <w:rFonts w:ascii="Courier New" w:hAnsi="Courier New" w:cs="Courier New"/>
          <w:sz w:val="18"/>
          <w:szCs w:val="18"/>
          <w:color w:val="ECEFF1"/>
        </w:rPr>
        <w:t xml:space="preserve">% Ogaga Maxwell Okedi, March 2026</w:t>
      </w:r>
    </w:p>
    <w:p>
      <w:pPr>
        <w:pStyle w:val="Normal"/>
        <w:spacing w:before="0" w:after="0"/>
        <w:ind w:left="360"/>
        <w:shd w:val="clear" w:color="auto" w:fill="1E272E"/>
        <w:rPr/>
      </w:pPr>
      <w:r>
        <w:rPr>
          <w:rFonts w:ascii="Courier New" w:hAnsi="Courier New" w:cs="Courier New"/>
          <w:sz w:val="18"/>
          <w:szCs w:val="18"/>
          <w:color w:val="ECEFF1"/>
        </w:rPr>
        <w:t xml:space="preserve">clear; clc;</w:t>
      </w:r>
    </w:p>
    <w:p>
      <w:pPr>
        <w:pStyle w:val="Normal"/>
        <w:spacing w:before="0" w:after="0"/>
        <w:rPr/>
      </w:pPr>
    </w:p>
    <w:p>
      <w:pPr>
        <w:pStyle w:val="Normal"/>
        <w:spacing w:before="0" w:after="0"/>
        <w:ind w:left="360"/>
        <w:shd w:val="clear" w:color="auto" w:fill="1E272E"/>
        <w:rPr/>
      </w:pPr>
      <w:r>
        <w:rPr>
          <w:rFonts w:ascii="Courier New" w:hAnsi="Courier New" w:cs="Courier New"/>
          <w:sz w:val="18"/>
          <w:szCs w:val="18"/>
          <w:color w:val="ECEFF1"/>
        </w:rPr>
        <w:t xml:space="preserve">% Process specifications</w:t>
      </w:r>
    </w:p>
    <w:p>
      <w:pPr>
        <w:pStyle w:val="Normal"/>
        <w:spacing w:before="0" w:after="0"/>
        <w:ind w:left="360"/>
        <w:shd w:val="clear" w:color="auto" w:fill="1E272E"/>
        <w:rPr/>
      </w:pPr>
      <w:r>
        <w:rPr>
          <w:rFonts w:ascii="Courier New" w:hAnsi="Courier New" w:cs="Courier New"/>
          <w:sz w:val="18"/>
          <w:szCs w:val="18"/>
          <w:color w:val="ECEFF1"/>
        </w:rPr>
        <w:t xml:space="preserve">C_feed     = 43.08;   % g/L citric acid (Okedi et al., 2024)</w:t>
      </w:r>
    </w:p>
    <w:p>
      <w:pPr>
        <w:pStyle w:val="Normal"/>
        <w:spacing w:before="0" w:after="0"/>
        <w:ind w:left="360"/>
        <w:shd w:val="clear" w:color="auto" w:fill="1E272E"/>
        <w:rPr/>
      </w:pPr>
      <w:r>
        <w:rPr>
          <w:rFonts w:ascii="Courier New" w:hAnsi="Courier New" w:cs="Courier New"/>
          <w:sz w:val="18"/>
          <w:szCs w:val="18"/>
          <w:color w:val="ECEFF1"/>
        </w:rPr>
        <w:t xml:space="preserve">eta_target = 0.95;    % Target recovery (95%)</w:t>
      </w:r>
    </w:p>
    <w:p>
      <w:pPr>
        <w:pStyle w:val="Normal"/>
        <w:spacing w:before="0" w:after="0"/>
        <w:ind w:left="360"/>
        <w:shd w:val="clear" w:color="auto" w:fill="1E272E"/>
        <w:rPr/>
      </w:pPr>
      <w:r>
        <w:rPr>
          <w:rFonts w:ascii="Courier New" w:hAnsi="Courier New" w:cs="Courier New"/>
          <w:sz w:val="18"/>
          <w:szCs w:val="18"/>
          <w:color w:val="ECEFF1"/>
        </w:rPr>
        <w:t xml:space="preserve">Q_L        = 100e3 / (2*3600);  % cm3/s  (100 L batch, 2 h)</w:t>
      </w:r>
    </w:p>
    <w:p>
      <w:pPr>
        <w:pStyle w:val="Normal"/>
        <w:spacing w:before="0" w:after="0"/>
        <w:rPr/>
      </w:pPr>
    </w:p>
    <w:p>
      <w:pPr>
        <w:pStyle w:val="Normal"/>
        <w:spacing w:before="0" w:after="0"/>
        <w:ind w:left="360"/>
        <w:shd w:val="clear" w:color="auto" w:fill="1E272E"/>
        <w:rPr/>
      </w:pPr>
      <w:r>
        <w:rPr>
          <w:rFonts w:ascii="Courier New" w:hAnsi="Courier New" w:cs="Courier New"/>
          <w:sz w:val="18"/>
          <w:szCs w:val="18"/>
          <w:color w:val="ECEFF1"/>
        </w:rPr>
        <w:t xml:space="preserve">% Physical properties at 30 deg C</w:t>
      </w:r>
    </w:p>
    <w:p>
      <w:pPr>
        <w:pStyle w:val="Normal"/>
        <w:spacing w:before="0" w:after="0"/>
        <w:ind w:left="360"/>
        <w:shd w:val="clear" w:color="auto" w:fill="1E272E"/>
        <w:rPr/>
      </w:pPr>
      <w:r>
        <w:rPr>
          <w:rFonts w:ascii="Courier New" w:hAnsi="Courier New" w:cs="Courier New"/>
          <w:sz w:val="18"/>
          <w:szCs w:val="18"/>
          <w:color w:val="ECEFF1"/>
        </w:rPr>
        <w:t xml:space="preserve">D   = 7.0e-6;   % cm^2/s, citric acid diffusivity in water</w:t>
      </w:r>
    </w:p>
    <w:p>
      <w:pPr>
        <w:pStyle w:val="Normal"/>
        <w:spacing w:before="0" w:after="0"/>
        <w:ind w:left="360"/>
        <w:shd w:val="clear" w:color="auto" w:fill="1E272E"/>
        <w:rPr/>
      </w:pPr>
      <w:r>
        <w:rPr>
          <w:rFonts w:ascii="Courier New" w:hAnsi="Courier New" w:cs="Courier New"/>
          <w:sz w:val="18"/>
          <w:szCs w:val="18"/>
          <w:color w:val="ECEFF1"/>
        </w:rPr>
        <w:t xml:space="preserve">mu  = 0.012;    % g/(cm*s), broth viscosity</w:t>
      </w:r>
    </w:p>
    <w:p>
      <w:pPr>
        <w:pStyle w:val="Normal"/>
        <w:spacing w:before="0" w:after="0"/>
        <w:ind w:left="360"/>
        <w:shd w:val="clear" w:color="auto" w:fill="1E272E"/>
        <w:rPr/>
      </w:pPr>
      <w:r>
        <w:rPr>
          <w:rFonts w:ascii="Courier New" w:hAnsi="Courier New" w:cs="Courier New"/>
          <w:sz w:val="18"/>
          <w:szCs w:val="18"/>
          <w:color w:val="ECEFF1"/>
        </w:rPr>
        <w:t xml:space="preserve">rho = 1.02;     % g/cm^3, broth density</w:t>
      </w:r>
    </w:p>
    <w:p>
      <w:pPr>
        <w:pStyle w:val="Normal"/>
        <w:spacing w:before="0" w:after="0"/>
        <w:rPr/>
      </w:pPr>
    </w:p>
    <w:p>
      <w:pPr>
        <w:pStyle w:val="Normal"/>
        <w:spacing w:before="0" w:after="0"/>
        <w:ind w:left="360"/>
        <w:shd w:val="clear" w:color="auto" w:fill="1E272E"/>
        <w:rPr/>
      </w:pPr>
      <w:r>
        <w:rPr>
          <w:rFonts w:ascii="Courier New" w:hAnsi="Courier New" w:cs="Courier New"/>
          <w:sz w:val="18"/>
          <w:szCs w:val="18"/>
          <w:color w:val="ECEFF1"/>
        </w:rPr>
        <w:t xml:space="preserve">% Fiber and module specs (Yang-Cussler geometry)</w:t>
      </w:r>
    </w:p>
    <w:p>
      <w:pPr>
        <w:pStyle w:val="Normal"/>
        <w:spacing w:before="0" w:after="0"/>
        <w:ind w:left="360"/>
        <w:shd w:val="clear" w:color="auto" w:fill="1E272E"/>
        <w:rPr/>
      </w:pPr>
      <w:r>
        <w:rPr>
          <w:rFonts w:ascii="Courier New" w:hAnsi="Courier New" w:cs="Courier New"/>
          <w:sz w:val="18"/>
          <w:szCs w:val="18"/>
          <w:color w:val="ECEFF1"/>
        </w:rPr>
        <w:t xml:space="preserve">d_i = 0.04;  d_o = 0.046;  t_w = 0.003;</w:t>
      </w:r>
    </w:p>
    <w:p>
      <w:pPr>
        <w:pStyle w:val="Normal"/>
        <w:spacing w:before="0" w:after="0"/>
        <w:ind w:left="360"/>
        <w:shd w:val="clear" w:color="auto" w:fill="1E272E"/>
        <w:rPr/>
      </w:pPr>
      <w:r>
        <w:rPr>
          <w:rFonts w:ascii="Courier New" w:hAnsi="Courier New" w:cs="Courier New"/>
          <w:sz w:val="18"/>
          <w:szCs w:val="18"/>
          <w:color w:val="ECEFF1"/>
        </w:rPr>
        <w:t xml:space="preserve">N = 2000;  L = 30;   % fibers, cm</w:t>
      </w:r>
    </w:p>
    <w:p>
      <w:pPr>
        <w:pStyle w:val="Normal"/>
        <w:spacing w:before="0" w:after="0"/>
        <w:rPr/>
      </w:pPr>
    </w:p>
    <w:p>
      <w:pPr>
        <w:pStyle w:val="Normal"/>
        <w:spacing w:before="0" w:after="0"/>
        <w:ind w:left="360"/>
        <w:shd w:val="clear" w:color="auto" w:fill="1E272E"/>
        <w:rPr/>
      </w:pPr>
      <w:r>
        <w:rPr>
          <w:rFonts w:ascii="Courier New" w:hAnsi="Courier New" w:cs="Courier New"/>
          <w:sz w:val="18"/>
          <w:szCs w:val="18"/>
          <w:color w:val="ECEFF1"/>
        </w:rPr>
        <w:t xml:space="preserve">% Step 1: Cross-sectional area and velocity</w:t>
      </w:r>
    </w:p>
    <w:p>
      <w:pPr>
        <w:pStyle w:val="Normal"/>
        <w:spacing w:before="0" w:after="0"/>
        <w:ind w:left="360"/>
        <w:shd w:val="clear" w:color="auto" w:fill="1E272E"/>
        <w:rPr/>
      </w:pPr>
      <w:r>
        <w:rPr>
          <w:rFonts w:ascii="Courier New" w:hAnsi="Courier New" w:cs="Courier New"/>
          <w:sz w:val="18"/>
          <w:szCs w:val="18"/>
          <w:color w:val="ECEFF1"/>
        </w:rPr>
        <w:t xml:space="preserve">A_cross = N * pi * (d_i/2)^2;</w:t>
      </w:r>
    </w:p>
    <w:p>
      <w:pPr>
        <w:pStyle w:val="Normal"/>
        <w:spacing w:before="0" w:after="0"/>
        <w:ind w:left="360"/>
        <w:shd w:val="clear" w:color="auto" w:fill="1E272E"/>
        <w:rPr/>
      </w:pPr>
      <w:r>
        <w:rPr>
          <w:rFonts w:ascii="Courier New" w:hAnsi="Courier New" w:cs="Courier New"/>
          <w:sz w:val="18"/>
          <w:szCs w:val="18"/>
          <w:color w:val="ECEFF1"/>
        </w:rPr>
        <w:t xml:space="preserve">V_L     = Q_L / A_cross;</w:t>
      </w:r>
    </w:p>
    <w:p>
      <w:pPr>
        <w:pStyle w:val="Normal"/>
        <w:spacing w:before="0" w:after="0"/>
        <w:rPr/>
      </w:pPr>
    </w:p>
    <w:p>
      <w:pPr>
        <w:pStyle w:val="Normal"/>
        <w:spacing w:before="0" w:after="0"/>
        <w:ind w:left="360"/>
        <w:shd w:val="clear" w:color="auto" w:fill="1E272E"/>
        <w:rPr/>
      </w:pPr>
      <w:r>
        <w:rPr>
          <w:rFonts w:ascii="Courier New" w:hAnsi="Courier New" w:cs="Courier New"/>
          <w:sz w:val="18"/>
          <w:szCs w:val="18"/>
          <w:color w:val="ECEFF1"/>
        </w:rPr>
        <w:t xml:space="preserve">% Step 2: Dimensionless groups</w:t>
      </w:r>
    </w:p>
    <w:p>
      <w:pPr>
        <w:pStyle w:val="Normal"/>
        <w:spacing w:before="0" w:after="0"/>
        <w:ind w:left="360"/>
        <w:shd w:val="clear" w:color="auto" w:fill="1E272E"/>
        <w:rPr/>
      </w:pPr>
      <w:r>
        <w:rPr>
          <w:rFonts w:ascii="Courier New" w:hAnsi="Courier New" w:cs="Courier New"/>
          <w:sz w:val="18"/>
          <w:szCs w:val="18"/>
          <w:color w:val="ECEFF1"/>
        </w:rPr>
        <w:t xml:space="preserve">Re = rho * V_L * d_i / mu;</w:t>
      </w:r>
    </w:p>
    <w:p>
      <w:pPr>
        <w:pStyle w:val="Normal"/>
        <w:spacing w:before="0" w:after="0"/>
        <w:ind w:left="360"/>
        <w:shd w:val="clear" w:color="auto" w:fill="1E272E"/>
        <w:rPr/>
      </w:pPr>
      <w:r>
        <w:rPr>
          <w:rFonts w:ascii="Courier New" w:hAnsi="Courier New" w:cs="Courier New"/>
          <w:sz w:val="18"/>
          <w:szCs w:val="18"/>
          <w:color w:val="ECEFF1"/>
        </w:rPr>
        <w:t xml:space="preserve">Sc = mu / (rho * D);</w:t>
      </w:r>
    </w:p>
    <w:p>
      <w:pPr>
        <w:pStyle w:val="Normal"/>
        <w:spacing w:before="0" w:after="0"/>
        <w:ind w:left="360"/>
        <w:shd w:val="clear" w:color="auto" w:fill="1E272E"/>
        <w:rPr/>
      </w:pPr>
      <w:r>
        <w:rPr>
          <w:rFonts w:ascii="Courier New" w:hAnsi="Courier New" w:cs="Courier New"/>
          <w:sz w:val="18"/>
          <w:szCs w:val="18"/>
          <w:color w:val="ECEFF1"/>
        </w:rPr>
        <w:t xml:space="preserve">Gz = Re * Sc * (d_i / L);</w:t>
      </w:r>
    </w:p>
    <w:p>
      <w:pPr>
        <w:pStyle w:val="Normal"/>
        <w:spacing w:before="0" w:after="0"/>
        <w:rPr/>
      </w:pPr>
    </w:p>
    <w:p>
      <w:pPr>
        <w:pStyle w:val="Normal"/>
        <w:spacing w:before="0" w:after="0"/>
        <w:ind w:left="360"/>
        <w:shd w:val="clear" w:color="auto" w:fill="1E272E"/>
        <w:rPr/>
      </w:pPr>
      <w:r>
        <w:rPr>
          <w:rFonts w:ascii="Courier New" w:hAnsi="Courier New" w:cs="Courier New"/>
          <w:sz w:val="18"/>
          <w:szCs w:val="18"/>
          <w:color w:val="ECEFF1"/>
        </w:rPr>
        <w:t xml:space="preserve">% Step 3: Sherwood number and KL</w:t>
      </w:r>
    </w:p>
    <w:p>
      <w:pPr>
        <w:pStyle w:val="Normal"/>
        <w:spacing w:before="0" w:after="0"/>
        <w:ind w:left="360"/>
        <w:shd w:val="clear" w:color="auto" w:fill="1E272E"/>
        <w:rPr/>
      </w:pPr>
      <w:r>
        <w:rPr>
          <w:rFonts w:ascii="Courier New" w:hAnsi="Courier New" w:cs="Courier New"/>
          <w:sz w:val="18"/>
          <w:szCs w:val="18"/>
          <w:color w:val="ECEFF1"/>
        </w:rPr>
        <w:t xml:space="preserve">Sh  = 1.86 * Gz^(1/3);</w:t>
      </w:r>
    </w:p>
    <w:p>
      <w:pPr>
        <w:pStyle w:val="Normal"/>
        <w:spacing w:before="0" w:after="0"/>
        <w:ind w:left="360"/>
        <w:shd w:val="clear" w:color="auto" w:fill="1E272E"/>
        <w:rPr/>
      </w:pPr>
      <w:r>
        <w:rPr>
          <w:rFonts w:ascii="Courier New" w:hAnsi="Courier New" w:cs="Courier New"/>
          <w:sz w:val="18"/>
          <w:szCs w:val="18"/>
          <w:color w:val="ECEFF1"/>
        </w:rPr>
        <w:t xml:space="preserve">K_L = Sh * D / d_i;</w:t>
      </w:r>
    </w:p>
    <w:p>
      <w:pPr>
        <w:pStyle w:val="Normal"/>
        <w:spacing w:before="0" w:after="0"/>
        <w:rPr/>
      </w:pPr>
    </w:p>
    <w:p>
      <w:pPr>
        <w:pStyle w:val="Normal"/>
        <w:spacing w:before="0" w:after="0"/>
        <w:ind w:left="360"/>
        <w:shd w:val="clear" w:color="auto" w:fill="1E272E"/>
        <w:rPr/>
      </w:pPr>
      <w:r>
        <w:rPr>
          <w:rFonts w:ascii="Courier New" w:hAnsi="Courier New" w:cs="Courier New"/>
          <w:sz w:val="18"/>
          <w:szCs w:val="18"/>
          <w:color w:val="ECEFF1"/>
        </w:rPr>
        <w:t xml:space="preserve">% Step 4: Area, recovery, modules in series</w:t>
      </w:r>
    </w:p>
    <w:p>
      <w:pPr>
        <w:pStyle w:val="Normal"/>
        <w:spacing w:before="0" w:after="0"/>
        <w:ind w:left="360"/>
        <w:shd w:val="clear" w:color="auto" w:fill="1E272E"/>
        <w:rPr/>
      </w:pPr>
      <w:r>
        <w:rPr>
          <w:rFonts w:ascii="Courier New" w:hAnsi="Courier New" w:cs="Courier New"/>
          <w:sz w:val="18"/>
          <w:szCs w:val="18"/>
          <w:color w:val="ECEFF1"/>
        </w:rPr>
        <w:t xml:space="preserve">A_module   = N * pi * d_i * L;</w:t>
      </w:r>
    </w:p>
    <w:p>
      <w:pPr>
        <w:pStyle w:val="Normal"/>
        <w:spacing w:before="0" w:after="0"/>
        <w:ind w:left="360"/>
        <w:shd w:val="clear" w:color="auto" w:fill="1E272E"/>
        <w:rPr/>
      </w:pPr>
      <w:r>
        <w:rPr>
          <w:rFonts w:ascii="Courier New" w:hAnsi="Courier New" w:cs="Courier New"/>
          <w:sz w:val="18"/>
          <w:szCs w:val="18"/>
          <w:color w:val="ECEFF1"/>
        </w:rPr>
        <w:t xml:space="preserve">eta_single = 1 - exp(-K_L * A_module / Q_L);</w:t>
      </w:r>
    </w:p>
    <w:p>
      <w:pPr>
        <w:pStyle w:val="Normal"/>
        <w:spacing w:before="0" w:after="0"/>
        <w:ind w:left="360"/>
        <w:shd w:val="clear" w:color="auto" w:fill="1E272E"/>
        <w:rPr/>
      </w:pPr>
      <w:r>
        <w:rPr>
          <w:rFonts w:ascii="Courier New" w:hAnsi="Courier New" w:cs="Courier New"/>
          <w:sz w:val="18"/>
          <w:szCs w:val="18"/>
          <w:color w:val="ECEFF1"/>
        </w:rPr>
        <w:t xml:space="preserve">n_series   = ceil(log(1-eta_target) / log(1-eta_single));</w:t>
      </w:r>
    </w:p>
    <w:p>
      <w:pPr>
        <w:pStyle w:val="Normal"/>
        <w:spacing w:before="0" w:after="0"/>
        <w:ind w:left="360"/>
        <w:shd w:val="clear" w:color="auto" w:fill="1E272E"/>
        <w:rPr/>
      </w:pPr>
      <w:r>
        <w:rPr>
          <w:rFonts w:ascii="Courier New" w:hAnsi="Courier New" w:cs="Courier New"/>
          <w:sz w:val="18"/>
          <w:szCs w:val="18"/>
          <w:color w:val="ECEFF1"/>
        </w:rPr>
        <w:t xml:space="preserve">eta_total  = 1 - (1-eta_single)^n_series;</w:t>
      </w:r>
    </w:p>
    <w:p>
      <w:pPr>
        <w:pStyle w:val="Normal"/>
        <w:spacing w:before="0" w:after="0"/>
        <w:rPr/>
      </w:pPr>
    </w:p>
    <w:p>
      <w:pPr>
        <w:pStyle w:val="Normal"/>
        <w:spacing w:before="0" w:after="0"/>
        <w:ind w:left="360"/>
        <w:shd w:val="clear" w:color="auto" w:fill="1E272E"/>
        <w:rPr/>
      </w:pPr>
      <w:r>
        <w:rPr>
          <w:rFonts w:ascii="Courier New" w:hAnsi="Courier New" w:cs="Courier New"/>
          <w:sz w:val="18"/>
          <w:szCs w:val="18"/>
          <w:color w:val="ECEFF1"/>
        </w:rPr>
        <w:t xml:space="preserve">% Industrial scale-up</w:t>
      </w:r>
    </w:p>
    <w:p>
      <w:pPr>
        <w:pStyle w:val="Normal"/>
        <w:spacing w:before="0" w:after="0"/>
        <w:ind w:left="360"/>
        <w:shd w:val="clear" w:color="auto" w:fill="1E272E"/>
        <w:rPr/>
      </w:pPr>
      <w:r>
        <w:rPr>
          <w:rFonts w:ascii="Courier New" w:hAnsi="Courier New" w:cs="Courier New"/>
          <w:sz w:val="18"/>
          <w:szCs w:val="18"/>
          <w:color w:val="ECEFF1"/>
        </w:rPr>
        <w:t xml:space="preserve">n_parallel = ceil((1000e3/(2*3600)) / Q_L);</w:t>
      </w:r>
    </w:p>
    <w:p>
      <w:pPr>
        <w:pStyle w:val="Normal"/>
        <w:spacing w:before="0" w:after="0"/>
        <w:ind w:left="360"/>
        <w:shd w:val="clear" w:color="auto" w:fill="1E272E"/>
        <w:rPr/>
      </w:pPr>
      <w:r>
        <w:rPr>
          <w:rFonts w:ascii="Courier New" w:hAnsi="Courier New" w:cs="Courier New"/>
          <w:sz w:val="18"/>
          <w:szCs w:val="18"/>
          <w:color w:val="ECEFF1"/>
        </w:rPr>
        <w:t xml:space="preserve">total_mods = n_series * n_parallel;</w:t>
      </w:r>
    </w:p>
    <w:p>
      <w:pPr>
        <w:pStyle w:val="Normal"/>
        <w:spacing w:before="0" w:after="0"/>
        <w:ind w:left="360"/>
        <w:shd w:val="clear" w:color="auto" w:fill="1E272E"/>
        <w:rPr/>
      </w:pPr>
      <w:r>
        <w:rPr>
          <w:rFonts w:ascii="Courier New" w:hAnsi="Courier New" w:cs="Courier New"/>
          <w:sz w:val="18"/>
          <w:szCs w:val="18"/>
          <w:color w:val="ECEFF1"/>
        </w:rPr>
        <w:t xml:space="preserve">total_area = total_mods * A_module / 1e4;  % m^2</w:t>
      </w:r>
    </w:p>
    <w:p>
      <w:pPr>
        <w:pStyle w:val="Normal"/>
        <w:spacing w:before="0" w:after="0"/>
        <w:rPr/>
      </w:pPr>
    </w:p>
    <w:p>
      <w:pPr>
        <w:pStyle w:val="Normal"/>
        <w:spacing w:before="0" w:after="0"/>
        <w:ind w:left="360"/>
        <w:shd w:val="clear" w:color="auto" w:fill="1E272E"/>
        <w:rPr/>
      </w:pPr>
      <w:r>
        <w:rPr>
          <w:rFonts w:ascii="Courier New" w:hAnsi="Courier New" w:cs="Courier New"/>
          <w:sz w:val="18"/>
          <w:szCs w:val="18"/>
          <w:color w:val="ECEFF1"/>
        </w:rPr>
        <w:t xml:space="preserve">% Display</w:t>
      </w:r>
    </w:p>
    <w:p>
      <w:pPr>
        <w:pStyle w:val="Normal"/>
        <w:spacing w:before="0" w:after="0"/>
        <w:ind w:left="360"/>
        <w:shd w:val="clear" w:color="auto" w:fill="1E272E"/>
        <w:rPr/>
      </w:pPr>
      <w:r>
        <w:rPr>
          <w:rFonts w:ascii="Courier New" w:hAnsi="Courier New" w:cs="Courier New"/>
          <w:sz w:val="18"/>
          <w:szCs w:val="18"/>
          <w:color w:val="ECEFF1"/>
        </w:rPr>
        <w:t xml:space="preserve">fprintf("KL = %.4e cm/s\n", K_L);</w:t>
      </w:r>
    </w:p>
    <w:p>
      <w:pPr>
        <w:pStyle w:val="Normal"/>
        <w:spacing w:before="0" w:after="0"/>
        <w:ind w:left="360"/>
        <w:shd w:val="clear" w:color="auto" w:fill="1E272E"/>
        <w:rPr/>
      </w:pPr>
      <w:r>
        <w:rPr>
          <w:rFonts w:ascii="Courier New" w:hAnsi="Courier New" w:cs="Courier New"/>
          <w:sz w:val="18"/>
          <w:szCs w:val="18"/>
          <w:color w:val="ECEFF1"/>
        </w:rPr>
        <w:t xml:space="preserve">fprintf("Modules for 95%%: %d  (eta = %.1f%%)\n", n_series, eta_total*100);</w:t>
      </w:r>
    </w:p>
    <w:p>
      <w:pPr>
        <w:pStyle w:val="Normal"/>
        <w:spacing w:before="0" w:after="0"/>
        <w:ind w:left="360"/>
        <w:shd w:val="clear" w:color="auto" w:fill="1E272E"/>
        <w:rPr/>
      </w:pPr>
      <w:r>
        <w:rPr>
          <w:rFonts w:ascii="Courier New" w:hAnsi="Courier New" w:cs="Courier New"/>
          <w:sz w:val="18"/>
          <w:szCs w:val="18"/>
          <w:color w:val="ECEFF1"/>
        </w:rPr>
        <w:t xml:space="preserve">fprintf("Industrial: %d modules, %.1f m^2\n", total_mods, total_area);</w:t>
      </w:r>
    </w:p>
    <w:p>
      <w:pPr>
        <w:pStyle w:val="Normal"/>
        <w:spacing w:before="120" w:after="120"/>
        <w:rPr/>
      </w:pPr>
      <w:r>
        <w:rPr>
          <w:sz w:val="12"/>
          <w:szCs w:val="12"/>
          <w:color w:val="DDDDDD"/>
        </w:rPr>
        <w:t xml:space="preserve">__________________________________________________________________________________________</w:t>
      </w:r>
    </w:p>
    <w:p>
      <w:pPr>
        <w:pStyle w:val="H1"/>
        <w:spacing w:before="240" w:after="120"/>
        <w:rPr/>
      </w:pPr>
      <w:r>
        <w:rPr>
          <w:sz w:val="28"/>
          <w:szCs w:val="28"/>
          <w:b/>
          <w:bCs/>
          <w:color w:val="1A4D8F"/>
        </w:rPr>
        <w:t xml:space="preserve">References</w:t>
      </w:r>
    </w:p>
    <w:p>
      <w:pPr>
        <w:pStyle w:val="Normal"/>
        <w:spacing w:before="0" w:after="60"/>
        <w:rPr/>
      </w:pPr>
      <w:r>
        <w:rPr>
          <w:sz w:val="19.0"/>
          <w:szCs w:val="19.0"/>
        </w:rPr>
        <w:t xml:space="preserve">1. Yang, M.; Cussler, E. L. Designing Hollow-Fiber Contactors. AIChE J. 1986, 32 (11), 1910-1916.</w:t>
      </w:r>
    </w:p>
    <w:p>
      <w:pPr>
        <w:pStyle w:val="Normal"/>
        <w:spacing w:before="0" w:after="60"/>
        <w:rPr/>
      </w:pPr>
      <w:r>
        <w:rPr>
          <w:sz w:val="19.0"/>
          <w:szCs w:val="19.0"/>
        </w:rPr>
        <w:t xml:space="preserve">2. Okedi, O. M. et al. Optimization of Citric Acid Production from Yam Peel Agricultural Waste Using Box-Behnken Design and ANFIS. Industrial Crops and Products 2024 (IF 6.2).</w:t>
      </w:r>
    </w:p>
    <w:p>
      <w:pPr>
        <w:pStyle w:val="Normal"/>
        <w:spacing w:before="0" w:after="60"/>
        <w:rPr/>
      </w:pPr>
      <w:r>
        <w:rPr>
          <w:sz w:val="19.0"/>
          <w:szCs w:val="19.0"/>
        </w:rPr>
        <w:t xml:space="preserve">3. Paul, A. R.; Callahan, R. W. Liquid-Liquid Extraction and Stripping of Gold with Microporous Hollow Fibers. J. Membr. Sci. 1987, 35 (1), 57-71.</w:t>
      </w:r>
    </w:p>
    <w:p>
      <w:pPr>
        <w:pStyle w:val="Normal"/>
        <w:spacing w:before="0" w:after="60"/>
        <w:rPr/>
      </w:pPr>
      <w:r>
        <w:rPr>
          <w:sz w:val="19.0"/>
          <w:szCs w:val="19.0"/>
        </w:rPr>
        <w:t xml:space="preserve">4. Cussler, E. L. Diffusion: Mass Transfer in Fluid Systems; Cambridge University Press: Cambridge, 1984.</w:t>
      </w:r>
    </w:p>
    <w:p>
      <w:pPr>
        <w:pStyle w:val="Normal"/>
        <w:spacing w:before="0" w:after="60"/>
        <w:rPr/>
      </w:pPr>
      <w:r>
        <w:rPr>
          <w:sz w:val="19.0"/>
          <w:szCs w:val="19.0"/>
        </w:rPr>
        <w:t xml:space="preserve">5. Qi, Z.; Cussler, E. L. Microporous Hollow Fibers for Gas Absorption I: Mass Transfer in the Liquid. J. Membr. Sci. 1985.</w:t>
      </w:r>
    </w:p>
    <w:p>
      <w:pPr>
        <w:pStyle w:val="Normal"/>
        <w:spacing w:before="0" w:after="60"/>
        <w:rPr/>
      </w:pPr>
      <w:r>
        <w:rPr>
          <w:sz w:val="19.0"/>
          <w:szCs w:val="19.0"/>
        </w:rPr>
        <w:t xml:space="preserve">6. Gableman, A.; Hwang, S.-T. Hollow Fiber Membrane Contactors. J. Membr. Sci. 1999.</w:t>
      </w:r>
    </w:p>
    <w:p>
      <w:pPr>
        <w:pStyle w:val="Normal"/>
        <w:spacing w:before="0" w:after="60"/>
        <w:rPr/>
      </w:pPr>
      <w:r>
        <w:rPr>
          <w:sz w:val="19.0"/>
          <w:szCs w:val="19.0"/>
        </w:rPr>
        <w:t xml:space="preserve">7. Sharma, A. K. et al. Porous Hydrophobic-Hydrophilic Composite Hollow Fiber Membranes for DCMD. Membranes 2021, 11 (2), 120.</w:t>
      </w:r>
    </w:p>
    <w:p>
      <w:pPr>
        <w:pStyle w:val="Normal"/>
        <w:spacing w:before="0" w:after="60"/>
        <w:rPr/>
      </w:pPr>
      <w:r>
        <w:rPr>
          <w:sz w:val="19.0"/>
          <w:szCs w:val="19.0"/>
        </w:rPr>
        <w:t xml:space="preserve">8. Schmitt, A. et al. Evaluation of an Ozone Diffusion Process Using a Hollow Fiber Membrane Contactor. Chem. Eng. Res. Des. 2022, 177, 291-303.</w:t>
      </w:r>
    </w:p>
    <w:p>
      <w:pPr>
        <w:pStyle w:val="Normal"/>
        <w:spacing w:before="0" w:after="60"/>
        <w:rPr/>
      </w:pPr>
      <w:r>
        <w:rPr>
          <w:sz w:val="19.0"/>
          <w:szCs w:val="19.0"/>
        </w:rPr>
        <w:t xml:space="preserve">9. Bazhenov, S. et al. Gas-Liquid Hollow Fiber Membrane Contactors for Different Applications. Fibers 2018, 6 (4), 76.</w:t>
      </w:r>
    </w:p>
    <w:p>
      <w:pPr>
        <w:pStyle w:val="Normal"/>
        <w:spacing w:before="0" w:after="60"/>
        <w:rPr/>
      </w:pPr>
      <w:r>
        <w:rPr>
          <w:sz w:val="19.0"/>
          <w:szCs w:val="19.0"/>
        </w:rPr>
        <w:t xml:space="preserve">10. Ramezani, R. et al. A Review on Hollow Fiber Membrane Contactors for Carbon Capture. Processes 2022, 10 (10), 2103.</w:t>
      </w:r>
    </w:p>
    <w:p>
      <w:pPr>
        <w:pStyle w:val="Normal"/>
        <w:spacing w:before="0" w:after="60"/>
        <w:rPr/>
      </w:pPr>
      <w:r>
        <w:rPr>
          <w:sz w:val="19.0"/>
          <w:szCs w:val="19.0"/>
        </w:rPr>
        <w:t xml:space="preserve">11. Li, K.; Tai, M. S. L.; Teo, W. K. Design of a CO2 Scrubber Using a Microporous Membrane. J. Membr. Sci. 1994, 86, 119-125.</w:t>
      </w:r>
    </w:p>
    <w:p>
      <w:pPr>
        <w:pStyle w:val="Normal"/>
        <w:spacing w:before="0" w:after="60"/>
        <w:rPr/>
      </w:pPr>
      <w:r>
        <w:rPr>
          <w:sz w:val="19.0"/>
          <w:szCs w:val="19.0"/>
        </w:rPr>
        <w:t xml:space="preserve">12. Tai, M. S. L. et al. Removal of Dissolved Oxygen in Ultrapure Water Using Microporous Membrane Modules. J. Membr. Sci. 1994, 87, 99-105.</w:t>
      </w:r>
    </w:p>
    <w:p>
      <w:pPr>
        <w:pStyle w:val="Normal"/>
        <w:spacing w:before="0" w:after="60"/>
        <w:rPr/>
      </w:pPr>
      <w:r>
        <w:rPr>
          <w:sz w:val="19.0"/>
          <w:szCs w:val="19.0"/>
        </w:rPr>
        <w:t xml:space="preserve">13. Kneifel, K. et al. Hollow Fiber Membrane Contactor for Air Humidity Control. J. Membr. Sci. 2006, 276, 241-251.</w:t>
      </w:r>
    </w:p>
    <w:p>
      <w:pPr>
        <w:pStyle w:val="Normal"/>
        <w:spacing w:before="0" w:after="60"/>
        <w:rPr/>
      </w:pPr>
      <w:r>
        <w:rPr>
          <w:sz w:val="19.0"/>
          <w:szCs w:val="19.0"/>
        </w:rPr>
        <w:t xml:space="preserve">14. Sieder, E. N.; Tate, G. E. Heat Transfer and Pressure Drop of Liquids in Tubes. Ind. Eng. Chem. 1936, 28 (12), 1429-1435.</w:t>
      </w:r>
    </w:p>
    <w:p>
      <w:pPr>
        <w:pStyle w:val="Normal"/>
        <w:spacing w:before="0" w:after="60"/>
        <w:rPr/>
      </w:pPr>
      <w:r>
        <w:rPr>
          <w:sz w:val="19.0"/>
          <w:szCs w:val="19.0"/>
        </w:rPr>
        <w:t xml:space="preserve">15. Boucif, N. et al. Hollow Fiber Membrane Contactor for Hydrogen Sulfide Odor Control. AIChE J. 2008, 54 (1), 122-131.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sz w:val="22"/>
        <w:szCs w:val="22"/>
        <w:lang w:val="en-US"/>
      </w:rPr>
    </w:rPrDefault>
    <w:pPrDefault>
      <w:pPr>
        <w:spacing w:after="100"/>
      </w:pPr>
    </w:pPrDefault>
  </w:docDefaults>
  <w:style w:type="paragraph" w:styleId="Normal" w:default="1">
    <w:name w:val="Normal"/>
  </w:style>
  <w:style w:type="paragraph" w:styleId="H1">
    <w:name w:val="H1"/>
    <w:basedOn w:val="Normal"/>
    <w:pPr>
      <w:keepNext/>
      <w:spacing w:before="240" w:after="120"/>
      <w:pBdr>
        <w:bottom w:val="single" w:sz="4" w:space="1" w:color="1A4D8F"/>
      </w:pBdr>
    </w:pPr>
    <w:rPr>
      <w:b/>
      <w:color w:val="1A4D8F"/>
      <w:sz w:val="28"/>
      <w:szCs w:val="28"/>
    </w:rPr>
  </w:style>
  <w:style w:type="paragraph" w:styleId="ListParagraph">
    <w:name w:val="List Paragraph"/>
    <w:basedOn w:val="Normal"/>
    <w:pPr>
      <w:ind w:left="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6" Type="http://schemas.openxmlformats.org/officeDocument/2006/relationships/numbering" Target="numbering.xml"/>
  <Relationship Id="rId3" Type="http://schemas.openxmlformats.org/officeDocument/2006/relationships/image" Target="media/fig1.png"/>
  <Relationship Id="rId4" Type="http://schemas.openxmlformats.org/officeDocument/2006/relationships/image" Target="media/fig2.png"/>
  <Relationship Id="rId5" Type="http://schemas.openxmlformats.org/officeDocument/2006/relationships/image" Target="media/fig3.png"/>
</Relationships>
</file>