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mbria" w:cs="Cambria" w:eastAsia="Cambria" w:hAnsi="Cambria"/>
          <w:b/>
          <w:bCs/>
          <w:color w:val="12181F"/>
          <w:sz w:val="56"/>
          <w:szCs w:val="56"/>
        </w:rPr>
        <w:t xml:space="preserve">BetGuard AI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F5E5A"/>
          <w:sz w:val="26"/>
          <w:szCs w:val="26"/>
        </w:rPr>
        <w:t xml:space="preserve">A real-time risk-scoring engine for account integrity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181F"/>
          <w:sz w:val="21"/>
          <w:szCs w:val="21"/>
        </w:rPr>
        <w:t xml:space="preserve">Prepared for: </w:t>
      </w:r>
      <w:r>
        <w:rPr>
          <w:rFonts w:ascii="Calibri" w:cs="Calibri" w:eastAsia="Calibri" w:hAnsi="Calibri"/>
          <w:color w:val="232323"/>
          <w:sz w:val="21"/>
          <w:szCs w:val="21"/>
        </w:rPr>
        <w:t xml:space="preserve">Betway — Fraud &amp; Risk Operations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181F"/>
          <w:sz w:val="21"/>
          <w:szCs w:val="21"/>
        </w:rPr>
        <w:t xml:space="preserve">Prepared by: </w:t>
      </w:r>
      <w:r>
        <w:rPr>
          <w:rFonts w:ascii="Calibri" w:cs="Calibri" w:eastAsia="Calibri" w:hAnsi="Calibri"/>
          <w:color w:val="232323"/>
          <w:sz w:val="21"/>
          <w:szCs w:val="21"/>
        </w:rPr>
        <w:t xml:space="preserve">Oganne Baitsile, Francistown, Botswana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2181F"/>
          <w:sz w:val="21"/>
          <w:szCs w:val="21"/>
        </w:rPr>
        <w:t xml:space="preserve">Date: </w:t>
      </w:r>
      <w:r>
        <w:rPr>
          <w:rFonts w:ascii="Calibri" w:cs="Calibri" w:eastAsia="Calibri" w:hAnsi="Calibri"/>
          <w:color w:val="232323"/>
          <w:sz w:val="21"/>
          <w:szCs w:val="21"/>
        </w:rPr>
        <w:t xml:space="preserve">September 2026</w:t>
      </w:r>
    </w:p>
    <w:p>
      <w:pPr>
        <w:pBdr>
          <w:bottom w:val="single" w:color="D3D1C7" w:sz="6" w:space="1"/>
        </w:pBdr>
        <w:spacing w:after="240" w:before="80"/>
      </w:pPr>
    </w:p>
    <w:p>
      <w:pPr>
        <w:pStyle w:val="Heading1"/>
        <w:spacing w:after="160" w:before="420"/>
      </w:pPr>
      <w:r>
        <w:rPr>
          <w:rFonts w:ascii="Cambria" w:cs="Cambria" w:eastAsia="Cambria" w:hAnsi="Cambria"/>
          <w:b/>
          <w:bCs/>
          <w:color w:val="12181F"/>
          <w:sz w:val="30"/>
          <w:szCs w:val="30"/>
        </w:rPr>
        <w:t xml:space="preserve">Executive summary</w:t>
      </w:r>
    </w:p>
    <w:p>
      <w:pPr>
        <w:spacing w:after="160" w:line="30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BetGuard AI is a lightweight risk-scoring engine that reads three behavioral signals — shared-device accounts, bonus claim volume, and deposit pattern — and turns them into a single, explainable risk score. The score sorts accounts into Low, Moderate, and High risk tiers, each with a clear recommended action, so a review team spends its time on the accounts that actually warrant a closer look.</w:t>
      </w:r>
    </w:p>
    <w:p>
      <w:pPr>
        <w:spacing w:after="160" w:line="30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A working demo of the scoring engine exists today, built on invented data for testing. This proposal outlines the approach, what a pilot with Betway could look like, and what would be needed to move from demo to production.</w:t>
      </w:r>
    </w:p>
    <w:p>
      <w:pPr>
        <w:pStyle w:val="Heading1"/>
        <w:spacing w:after="160" w:before="420"/>
      </w:pPr>
      <w:r>
        <w:rPr>
          <w:rFonts w:ascii="Cambria" w:cs="Cambria" w:eastAsia="Cambria" w:hAnsi="Cambria"/>
          <w:b/>
          <w:bCs/>
          <w:color w:val="12181F"/>
          <w:sz w:val="30"/>
          <w:szCs w:val="30"/>
        </w:rPr>
        <w:t xml:space="preserve">The problem</w:t>
      </w:r>
    </w:p>
    <w:p>
      <w:pPr>
        <w:spacing w:after="160" w:line="30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Multi-accounting, bonus abuse, and irregular deposit activity are well-known loss categories for online betting operators, and each is difficult to catch reliably by eye, one account at a time. Review teams need a way to triage — to know which accounts deserve attention before a bonus is approved or a payout is processed, not after.</w:t>
      </w:r>
    </w:p>
    <w:p>
      <w:pPr>
        <w:pStyle w:val="Heading1"/>
        <w:spacing w:after="160" w:before="420"/>
      </w:pPr>
      <w:r>
        <w:rPr>
          <w:rFonts w:ascii="Cambria" w:cs="Cambria" w:eastAsia="Cambria" w:hAnsi="Cambria"/>
          <w:b/>
          <w:bCs/>
          <w:color w:val="12181F"/>
          <w:sz w:val="30"/>
          <w:szCs w:val="30"/>
        </w:rPr>
        <w:t xml:space="preserve">How BetGuard AI works</w:t>
      </w:r>
    </w:p>
    <w:p>
      <w:pPr>
        <w:spacing w:after="160" w:line="30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Each account is scored against three signals, weighted and combined into a single 0–100 risk score: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34"/>
        <w:gridCol w:w="1916"/>
      </w:tblGrid>
      <w:tr>
        <w:tc>
          <w:tcPr>
            <w:tcW w:type="pct" w:w="28%"/>
            <w:shd w:fill="12181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pct" w:w="52%"/>
            <w:shd w:fill="12181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flags</w:t>
            </w:r>
          </w:p>
        </w:tc>
        <w:tc>
          <w:tcPr>
            <w:tcW w:type="pct" w:w="20%"/>
            <w:shd w:fill="12181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pct" w:w="28%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0"/>
                <w:szCs w:val="20"/>
              </w:rPr>
              <w:t xml:space="preserve">Shared device accounts</w:t>
            </w:r>
          </w:p>
        </w:tc>
        <w:tc>
          <w:tcPr>
            <w:tcW w:type="pct" w:w="52%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0"/>
                <w:szCs w:val="20"/>
              </w:rPr>
              <w:t xml:space="preserve">Multiple accounts registered or logged in from the same device — the clearest multi-accounting tell.</w:t>
            </w:r>
          </w:p>
        </w:tc>
        <w:tc>
          <w:tcPr>
            <w:tcW w:type="pct" w:w="20%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0"/>
                <w:szCs w:val="20"/>
              </w:rPr>
              <w:t xml:space="preserve">Highest</w:t>
            </w:r>
          </w:p>
        </w:tc>
      </w:tr>
      <w:tr>
        <w:tc>
          <w:tcPr>
            <w:tcW w:type="pct" w:w="28%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0"/>
                <w:szCs w:val="20"/>
              </w:rPr>
              <w:t xml:space="preserve">Bonus claims</w:t>
            </w:r>
          </w:p>
        </w:tc>
        <w:tc>
          <w:tcPr>
            <w:tcW w:type="pct" w:w="52%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0"/>
                <w:szCs w:val="20"/>
              </w:rPr>
              <w:t xml:space="preserve">How many promotional or free-bet offers an account has claimed relative to normal play.</w:t>
            </w:r>
          </w:p>
        </w:tc>
        <w:tc>
          <w:tcPr>
            <w:tcW w:type="pct" w:w="20%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28%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0"/>
                <w:szCs w:val="20"/>
              </w:rPr>
              <w:t xml:space="preserve">Deposit pattern</w:t>
            </w:r>
          </w:p>
        </w:tc>
        <w:tc>
          <w:tcPr>
            <w:tcW w:type="pct" w:w="52%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0"/>
                <w:szCs w:val="20"/>
              </w:rPr>
              <w:t xml:space="preserve">Whether recent deposits break from the account's own history in size, frequency, or timing.</w:t>
            </w:r>
          </w:p>
        </w:tc>
        <w:tc>
          <w:tcPr>
            <w:tcW w:type="pct" w:w="20%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0"/>
                <w:szCs w:val="20"/>
              </w:rPr>
              <w:t xml:space="preserve">Medium–high</w:t>
            </w:r>
          </w:p>
        </w:tc>
      </w:tr>
    </w:tbl>
    <w:p>
      <w:pPr>
        <w:spacing w:after="120" w:before="240"/>
      </w:pPr>
    </w:p>
    <w:p>
      <w:pPr>
        <w:spacing w:after="160" w:line="30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That score maps to a tier and a recommended action: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c>
          <w:tcPr>
            <w:tcW w:type="pct" w:w="33%"/>
            <w:shd w:fill="E1F5E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LOW  (0–29)</w:t>
            </w:r>
          </w:p>
        </w:tc>
        <w:tc>
          <w:tcPr>
            <w:tcW w:type="pct" w:w="33%"/>
            <w:shd w:fill="FAEED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F0B"/>
                <w:sz w:val="20"/>
                <w:szCs w:val="20"/>
              </w:rPr>
              <w:t xml:space="preserve">MODERATE  (30–59)</w:t>
            </w:r>
          </w:p>
        </w:tc>
        <w:tc>
          <w:tcPr>
            <w:tcW w:type="pct" w:w="33%"/>
            <w:shd w:fill="FAECE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3C1D"/>
                <w:sz w:val="20"/>
                <w:szCs w:val="20"/>
              </w:rPr>
              <w:t xml:space="preserve">HIGH  (60–100)</w:t>
            </w:r>
          </w:p>
        </w:tc>
      </w:tr>
      <w:tr>
        <w:tc>
          <w:tcPr>
            <w:tcW w:type="pct" w:w="33%"/>
            <w:tcMar>
              <w:top w:type="dxa" w:w="12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F5E5A"/>
                <w:sz w:val="20"/>
                <w:szCs w:val="20"/>
              </w:rPr>
              <w:t xml:space="preserve">No action needed. Continue normal monitoring.</w:t>
            </w:r>
          </w:p>
        </w:tc>
        <w:tc>
          <w:tcPr>
            <w:tcW w:type="pct" w:w="33%"/>
            <w:tcMar>
              <w:top w:type="dxa" w:w="12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F5E5A"/>
                <w:sz w:val="20"/>
                <w:szCs w:val="20"/>
              </w:rPr>
              <w:t xml:space="preserve">Flag for a closer look at the next natural touchpoint.</w:t>
            </w:r>
          </w:p>
        </w:tc>
        <w:tc>
          <w:tcPr>
            <w:tcW w:type="pct" w:w="33%"/>
            <w:tcMar>
              <w:top w:type="dxa" w:w="12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F5E5A"/>
                <w:sz w:val="20"/>
                <w:szCs w:val="20"/>
              </w:rPr>
              <w:t xml:space="preserve">Hold for manual review before approving bonuses or payouts.</w:t>
            </w:r>
          </w:p>
        </w:tc>
      </w:tr>
    </w:tbl>
    <w:p>
      <w:pPr>
        <w:spacing w:after="0" w:before="260"/>
      </w:pPr>
    </w:p>
    <w:p>
      <w:pPr>
        <w:pStyle w:val="Heading1"/>
        <w:spacing w:after="160" w:before="420"/>
      </w:pPr>
      <w:r>
        <w:rPr>
          <w:rFonts w:ascii="Cambria" w:cs="Cambria" w:eastAsia="Cambria" w:hAnsi="Cambria"/>
          <w:b/>
          <w:bCs/>
          <w:color w:val="12181F"/>
          <w:sz w:val="30"/>
          <w:szCs w:val="30"/>
        </w:rPr>
        <w:t xml:space="preserve">Why a rule-based engine first</w:t>
      </w:r>
    </w:p>
    <w:p>
      <w:pPr>
        <w:spacing w:after="160" w:line="30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The current version uses transparent, adjustable weights rather than a black-box model. That is a deliberate choice for this stage: it is easy to explain to a compliance or audit team, easy to tune as real data comes in, and easy to hand over rather than lock a partner into a vendor-only model. A trained model becomes the natural next step once there is enough labeled, real account data to train and validate one — outlined in the roadmap below.</w:t>
      </w:r>
    </w:p>
    <w:p>
      <w:pPr>
        <w:pStyle w:val="Heading1"/>
        <w:spacing w:after="160" w:before="420"/>
      </w:pPr>
      <w:r>
        <w:rPr>
          <w:rFonts w:ascii="Cambria" w:cs="Cambria" w:eastAsia="Cambria" w:hAnsi="Cambria"/>
          <w:b/>
          <w:bCs/>
          <w:color w:val="12181F"/>
          <w:sz w:val="30"/>
          <w:szCs w:val="30"/>
        </w:rPr>
        <w:t xml:space="preserve">Proposed pilot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A short working session with Betway's fraud and risk team to compare BetGuard AI's flags against cases the team already knows.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Access to a small, anonymized sample of real account data, used only to tune signal weights — no data leaves Betway's control.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A joint review of where the engine agrees with the team's own judgment, and where the weights need adjusting.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5F5E5A"/>
          <w:sz w:val="22"/>
          <w:szCs w:val="22"/>
        </w:rPr>
        <w:t xml:space="preserve">The goal of the pilot is simply to test fit — whether this scoring approach holds up against real patterns — before any commitment to a larger build.</w:t>
      </w:r>
    </w:p>
    <w:p>
      <w:pPr>
        <w:pStyle w:val="Heading1"/>
        <w:spacing w:after="160" w:before="420"/>
      </w:pPr>
      <w:r>
        <w:rPr>
          <w:rFonts w:ascii="Cambria" w:cs="Cambria" w:eastAsia="Cambria" w:hAnsi="Cambria"/>
          <w:b/>
          <w:bCs/>
          <w:color w:val="12181F"/>
          <w:sz w:val="30"/>
          <w:szCs w:val="30"/>
        </w:rPr>
        <w:t xml:space="preserve">Roadmap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MVP — built. Three-signal engine and an interactive scoring demo, working today on invented data.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Pilot. Connect to a small, anonymized sample of real account data and tune signal weights against known cases.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Model upgrade. Move from fixed weights to a trained model once pilot data supports it.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Rollout. Integrate into the live review queue and bonus-approval workflow.</w:t>
      </w:r>
    </w:p>
    <w:p>
      <w:pPr>
        <w:pStyle w:val="Heading1"/>
        <w:spacing w:after="160" w:before="420"/>
      </w:pPr>
      <w:r>
        <w:rPr>
          <w:rFonts w:ascii="Cambria" w:cs="Cambria" w:eastAsia="Cambria" w:hAnsi="Cambria"/>
          <w:b/>
          <w:bCs/>
          <w:color w:val="12181F"/>
          <w:sz w:val="30"/>
          <w:szCs w:val="30"/>
        </w:rPr>
        <w:t xml:space="preserve">What I'm asking for</w:t>
      </w:r>
    </w:p>
    <w:p>
      <w:pPr>
        <w:spacing w:after="160" w:line="30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A short conversation with Betway's fraud and risk team — enough time to walk through the working demo, compare it against real cases the team already knows, and agree on whether a pilot makes sense. From there, next steps could take the shape of a contract, a paid pilot, or an ongoing collaboration — whatever fits how Betway prefers to bring in outside tools.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2181F"/>
          <w:sz w:val="24"/>
          <w:szCs w:val="24"/>
        </w:rPr>
        <w:t xml:space="preserve">Contact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232323"/>
          <w:sz w:val="22"/>
          <w:szCs w:val="22"/>
        </w:rPr>
        <w:t xml:space="preserve">Oganne Baitsile</w:t>
      </w:r>
    </w:p>
    <w:p>
      <w:pPr>
        <w:spacing w:after="160" w:line="300"/>
      </w:pPr>
      <w:r>
        <w:rPr>
          <w:rFonts w:ascii="Calibri" w:cs="Calibri" w:eastAsia="Calibri" w:hAnsi="Calibri"/>
          <w:color w:val="5F5E5A"/>
          <w:sz w:val="22"/>
          <w:szCs w:val="22"/>
        </w:rPr>
        <w:t xml:space="preserve">Francistown, Botswana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5F5E5A"/>
          <w:sz w:val="19"/>
          <w:szCs w:val="19"/>
        </w:rPr>
        <w:t xml:space="preserve">This proposal and the accompanying demo use invented, fictional data only. Nothing here is connected to Betway's real accounts, payments, or systems.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F5E5A"/>
        <w:sz w:val="16"/>
        <w:szCs w:val="16"/>
      </w:rPr>
      <w:t xml:space="preserve">Page </w:t>
    </w:r>
    <w:r>
      <w:rPr>
        <w:rFonts w:ascii="Calibri" w:cs="Calibri" w:eastAsia="Calibri" w:hAnsi="Calibri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jc w:val="right"/>
    </w:pPr>
    <w:r>
      <w:rPr>
        <w:rFonts w:ascii="Calibri" w:cs="Calibri" w:eastAsia="Calibri" w:hAnsi="Calibri"/>
        <w:color w:val="5F5E5A"/>
        <w:spacing w:val="20"/>
        <w:sz w:val="16"/>
        <w:szCs w:val="16"/>
      </w:rPr>
      <w:t xml:space="preserve">BETGUARD AI —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2026-09-15T06:32:25.301Z</dcterms:created>
  <dcterms:modified xsi:type="dcterms:W3CDTF">2026-09-15T06:32:25.302Z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