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FCA701" w14:textId="77777777" w:rsidR="002B02D6" w:rsidRDefault="002B02D6">
      <w:pPr>
        <w:pStyle w:val="NormalWeb"/>
      </w:pPr>
      <w:r>
        <w:t>ANNEX I</w:t>
      </w:r>
    </w:p>
    <w:p w14:paraId="639FB790" w14:textId="77777777" w:rsidR="002B02D6" w:rsidRDefault="002B02D6">
      <w:pPr>
        <w:pStyle w:val="NormalWeb"/>
      </w:pPr>
      <w:r>
        <w:t>SUMMARY OF PRODUCT CHARACTERISTICS</w:t>
      </w:r>
    </w:p>
    <w:p w14:paraId="0152063A" w14:textId="77777777" w:rsidR="002B02D6" w:rsidRDefault="002B02D6">
      <w:pPr>
        <w:pStyle w:val="NormalWeb"/>
        <w:spacing w:before="0" w:beforeAutospacing="0" w:after="0" w:afterAutospacing="0"/>
        <w:divId w:val="1911034833"/>
        <w:rPr>
          <w:sz w:val="22"/>
          <w:szCs w:val="22"/>
        </w:rPr>
      </w:pPr>
      <w:r>
        <w:rPr>
          <w:sz w:val="22"/>
          <w:szCs w:val="22"/>
        </w:rPr>
        <w:t>This medicinal product is subject to additional monitoring. This will allow quick identification of new safety information. Healthcare professionals are asked to report any suspected adverse reactions. See section 4.8 for how to report adverse reactions.</w:t>
      </w:r>
    </w:p>
    <w:p w14:paraId="42C59CA9" w14:textId="77777777" w:rsidR="002B02D6" w:rsidRDefault="002B02D6">
      <w:pPr>
        <w:pStyle w:val="NormalWeb"/>
        <w:spacing w:before="0" w:beforeAutospacing="0" w:after="0" w:afterAutospacing="0"/>
        <w:divId w:val="1911034833"/>
        <w:rPr>
          <w:sz w:val="22"/>
          <w:szCs w:val="22"/>
        </w:rPr>
      </w:pPr>
      <w:r>
        <w:rPr>
          <w:sz w:val="22"/>
          <w:szCs w:val="22"/>
        </w:rPr>
        <w:t> </w:t>
      </w:r>
    </w:p>
    <w:p w14:paraId="3217E513" w14:textId="77777777" w:rsidR="002B02D6" w:rsidRDefault="002B02D6">
      <w:pPr>
        <w:pStyle w:val="NormalWeb"/>
      </w:pPr>
      <w:r>
        <w:t>1. NAME OF THE MEDICINAL PRODUCT</w:t>
      </w:r>
    </w:p>
    <w:p w14:paraId="59BBDB7F" w14:textId="77777777" w:rsidR="002B02D6" w:rsidRDefault="002B02D6">
      <w:pPr>
        <w:pStyle w:val="NormalWeb"/>
        <w:spacing w:before="0" w:beforeAutospacing="0" w:after="0" w:afterAutospacing="0"/>
        <w:divId w:val="1204101717"/>
        <w:rPr>
          <w:sz w:val="22"/>
          <w:szCs w:val="22"/>
        </w:rPr>
      </w:pPr>
      <w:r>
        <w:rPr>
          <w:sz w:val="22"/>
          <w:szCs w:val="22"/>
        </w:rPr>
        <w:t> </w:t>
      </w:r>
    </w:p>
    <w:p w14:paraId="16E08FED" w14:textId="77777777" w:rsidR="002B02D6" w:rsidRDefault="002B02D6">
      <w:pPr>
        <w:pStyle w:val="NormalWeb"/>
        <w:spacing w:before="0" w:beforeAutospacing="0" w:after="0" w:afterAutospacing="0"/>
        <w:divId w:val="1204101717"/>
        <w:rPr>
          <w:sz w:val="22"/>
          <w:szCs w:val="22"/>
        </w:rPr>
      </w:pPr>
      <w:r>
        <w:rPr>
          <w:sz w:val="22"/>
          <w:szCs w:val="22"/>
        </w:rPr>
        <w:t>Nuvaxovid dispersion for injection</w:t>
      </w:r>
    </w:p>
    <w:p w14:paraId="3FFE2315" w14:textId="77777777" w:rsidR="002B02D6" w:rsidRDefault="002B02D6">
      <w:pPr>
        <w:pStyle w:val="NormalWeb"/>
        <w:spacing w:before="0" w:beforeAutospacing="0" w:after="0" w:afterAutospacing="0"/>
        <w:divId w:val="1204101717"/>
        <w:rPr>
          <w:sz w:val="22"/>
          <w:szCs w:val="22"/>
        </w:rPr>
      </w:pPr>
      <w:r>
        <w:rPr>
          <w:sz w:val="22"/>
          <w:szCs w:val="22"/>
        </w:rPr>
        <w:t>COVID-19 Vaccine (recombinant, adjuvanted)</w:t>
      </w:r>
    </w:p>
    <w:p w14:paraId="1394A803" w14:textId="77777777" w:rsidR="002B02D6" w:rsidRDefault="002B02D6">
      <w:pPr>
        <w:pStyle w:val="NormalWeb"/>
        <w:spacing w:before="0" w:beforeAutospacing="0" w:after="0" w:afterAutospacing="0"/>
        <w:divId w:val="1204101717"/>
        <w:rPr>
          <w:sz w:val="22"/>
          <w:szCs w:val="22"/>
        </w:rPr>
      </w:pPr>
      <w:r>
        <w:rPr>
          <w:sz w:val="22"/>
          <w:szCs w:val="22"/>
        </w:rPr>
        <w:t> </w:t>
      </w:r>
    </w:p>
    <w:p w14:paraId="48FE243A" w14:textId="77777777" w:rsidR="002B02D6" w:rsidRDefault="002B02D6">
      <w:pPr>
        <w:pStyle w:val="NormalWeb"/>
        <w:spacing w:before="0" w:beforeAutospacing="0" w:after="0" w:afterAutospacing="0"/>
        <w:divId w:val="1204101717"/>
        <w:rPr>
          <w:sz w:val="22"/>
          <w:szCs w:val="22"/>
        </w:rPr>
      </w:pPr>
      <w:r>
        <w:rPr>
          <w:sz w:val="22"/>
          <w:szCs w:val="22"/>
        </w:rPr>
        <w:t> </w:t>
      </w:r>
    </w:p>
    <w:p w14:paraId="58C09432" w14:textId="77777777" w:rsidR="002B02D6" w:rsidRDefault="002B02D6">
      <w:pPr>
        <w:pStyle w:val="NormalWeb"/>
      </w:pPr>
      <w:r>
        <w:t>2. QUALITATIVE AND QUANTITATIVE COMPOSITION</w:t>
      </w:r>
    </w:p>
    <w:p w14:paraId="6F0214CF" w14:textId="77777777" w:rsidR="002B02D6" w:rsidRDefault="002B02D6">
      <w:pPr>
        <w:pStyle w:val="NormalWeb"/>
        <w:spacing w:before="0" w:beforeAutospacing="0" w:after="0" w:afterAutospacing="0" w:line="260" w:lineRule="atLeast"/>
        <w:divId w:val="603804397"/>
        <w:rPr>
          <w:sz w:val="22"/>
          <w:szCs w:val="22"/>
        </w:rPr>
      </w:pPr>
      <w:r>
        <w:rPr>
          <w:sz w:val="22"/>
          <w:szCs w:val="22"/>
        </w:rPr>
        <w:t> </w:t>
      </w:r>
    </w:p>
    <w:p w14:paraId="3DE53073" w14:textId="77777777" w:rsidR="002B02D6" w:rsidRDefault="002B02D6">
      <w:pPr>
        <w:pStyle w:val="NormalWeb"/>
        <w:spacing w:before="0" w:beforeAutospacing="0" w:after="0" w:afterAutospacing="0" w:line="260" w:lineRule="atLeast"/>
        <w:divId w:val="603804397"/>
        <w:rPr>
          <w:sz w:val="22"/>
          <w:szCs w:val="22"/>
        </w:rPr>
      </w:pPr>
      <w:r>
        <w:rPr>
          <w:sz w:val="22"/>
          <w:szCs w:val="22"/>
        </w:rPr>
        <w:t>These are multidose vials which contain 5 doses or 10 doses of 0.5 mL per vial (see section 6.5).</w:t>
      </w:r>
    </w:p>
    <w:p w14:paraId="1C809128" w14:textId="77777777" w:rsidR="002B02D6" w:rsidRDefault="002B02D6">
      <w:pPr>
        <w:pStyle w:val="NormalWeb"/>
        <w:spacing w:before="0" w:beforeAutospacing="0" w:after="0" w:afterAutospacing="0"/>
        <w:divId w:val="603804397"/>
        <w:rPr>
          <w:sz w:val="22"/>
          <w:szCs w:val="22"/>
        </w:rPr>
      </w:pPr>
      <w:r>
        <w:rPr>
          <w:sz w:val="22"/>
          <w:szCs w:val="22"/>
        </w:rPr>
        <w:t> </w:t>
      </w:r>
    </w:p>
    <w:p w14:paraId="0B4D7C28" w14:textId="77777777" w:rsidR="002B02D6" w:rsidRDefault="002B02D6">
      <w:pPr>
        <w:pStyle w:val="NormalWeb"/>
        <w:spacing w:before="0" w:beforeAutospacing="0" w:after="0" w:afterAutospacing="0"/>
        <w:divId w:val="603804397"/>
        <w:rPr>
          <w:sz w:val="22"/>
          <w:szCs w:val="22"/>
        </w:rPr>
      </w:pPr>
      <w:r>
        <w:rPr>
          <w:sz w:val="22"/>
          <w:szCs w:val="22"/>
        </w:rPr>
        <w:t>One dose (0.5 mL) contains 5 micrograms of the SARS-CoV-2 spike protein* and is adjuvanted with Matrix-M.</w:t>
      </w:r>
    </w:p>
    <w:p w14:paraId="36A0CF17" w14:textId="77777777" w:rsidR="002B02D6" w:rsidRDefault="002B02D6">
      <w:pPr>
        <w:pStyle w:val="NormalWeb"/>
        <w:spacing w:before="0" w:beforeAutospacing="0" w:after="0" w:afterAutospacing="0"/>
        <w:divId w:val="603804397"/>
        <w:rPr>
          <w:sz w:val="22"/>
          <w:szCs w:val="22"/>
        </w:rPr>
      </w:pPr>
      <w:r>
        <w:rPr>
          <w:sz w:val="22"/>
          <w:szCs w:val="22"/>
        </w:rPr>
        <w:t> </w:t>
      </w:r>
    </w:p>
    <w:p w14:paraId="523586E9" w14:textId="77777777" w:rsidR="002B02D6" w:rsidRDefault="002B02D6">
      <w:pPr>
        <w:pStyle w:val="NormalWeb"/>
        <w:spacing w:before="0" w:beforeAutospacing="0" w:after="0" w:afterAutospacing="0"/>
        <w:divId w:val="603804397"/>
        <w:rPr>
          <w:sz w:val="22"/>
          <w:szCs w:val="22"/>
        </w:rPr>
      </w:pPr>
      <w:r>
        <w:rPr>
          <w:sz w:val="22"/>
          <w:szCs w:val="22"/>
        </w:rPr>
        <w:t xml:space="preserve">Adjuvant Matrix-M containing per 0.5 mL dose: Fraction-A (42.5 micrograms) and Fraction-C (7.5 micrograms) of </w:t>
      </w:r>
      <w:r>
        <w:rPr>
          <w:rStyle w:val="Emphasis"/>
          <w:sz w:val="22"/>
          <w:szCs w:val="22"/>
        </w:rPr>
        <w:t>Quillaja saponaria</w:t>
      </w:r>
      <w:r>
        <w:rPr>
          <w:sz w:val="22"/>
          <w:szCs w:val="22"/>
        </w:rPr>
        <w:t xml:space="preserve"> Molina extract.</w:t>
      </w:r>
    </w:p>
    <w:p w14:paraId="6A858583" w14:textId="77777777" w:rsidR="002B02D6" w:rsidRDefault="002B02D6">
      <w:pPr>
        <w:pStyle w:val="NormalWeb"/>
        <w:spacing w:before="0" w:beforeAutospacing="0" w:after="0" w:afterAutospacing="0"/>
        <w:divId w:val="603804397"/>
        <w:rPr>
          <w:sz w:val="22"/>
          <w:szCs w:val="22"/>
        </w:rPr>
      </w:pPr>
      <w:r>
        <w:rPr>
          <w:sz w:val="22"/>
          <w:szCs w:val="22"/>
        </w:rPr>
        <w:t> </w:t>
      </w:r>
    </w:p>
    <w:p w14:paraId="1F5FEFDF" w14:textId="77777777" w:rsidR="002B02D6" w:rsidRDefault="002B02D6">
      <w:pPr>
        <w:pStyle w:val="NormalWeb"/>
        <w:spacing w:before="0" w:beforeAutospacing="0" w:after="0" w:afterAutospacing="0"/>
        <w:divId w:val="603804397"/>
        <w:rPr>
          <w:sz w:val="22"/>
          <w:szCs w:val="22"/>
        </w:rPr>
      </w:pPr>
      <w:r>
        <w:rPr>
          <w:sz w:val="22"/>
          <w:szCs w:val="22"/>
        </w:rPr>
        <w:t xml:space="preserve">*produced by recombinant DNA technology using a baculovirus expression system in an insect cell line that is derived from Sf9 cells of the </w:t>
      </w:r>
      <w:r>
        <w:rPr>
          <w:rStyle w:val="Emphasis"/>
          <w:sz w:val="22"/>
          <w:szCs w:val="22"/>
        </w:rPr>
        <w:t>Spodoptera frugiperda</w:t>
      </w:r>
      <w:r>
        <w:rPr>
          <w:sz w:val="22"/>
          <w:szCs w:val="22"/>
        </w:rPr>
        <w:t xml:space="preserve"> species.</w:t>
      </w:r>
    </w:p>
    <w:p w14:paraId="3E820C76" w14:textId="77777777" w:rsidR="002B02D6" w:rsidRDefault="002B02D6">
      <w:pPr>
        <w:pStyle w:val="NormalWeb"/>
        <w:spacing w:before="0" w:beforeAutospacing="0" w:after="0" w:afterAutospacing="0"/>
        <w:divId w:val="603804397"/>
        <w:rPr>
          <w:sz w:val="22"/>
          <w:szCs w:val="22"/>
        </w:rPr>
      </w:pPr>
      <w:r>
        <w:rPr>
          <w:sz w:val="22"/>
          <w:szCs w:val="22"/>
        </w:rPr>
        <w:t> </w:t>
      </w:r>
    </w:p>
    <w:p w14:paraId="1E24EB87" w14:textId="77777777" w:rsidR="002B02D6" w:rsidRDefault="002B02D6">
      <w:pPr>
        <w:pStyle w:val="NormalWeb"/>
        <w:spacing w:before="0" w:beforeAutospacing="0" w:after="0" w:afterAutospacing="0"/>
        <w:divId w:val="603804397"/>
        <w:rPr>
          <w:sz w:val="22"/>
          <w:szCs w:val="22"/>
        </w:rPr>
      </w:pPr>
      <w:r>
        <w:rPr>
          <w:sz w:val="22"/>
          <w:szCs w:val="22"/>
        </w:rPr>
        <w:t>For the full list of excipients, see section 6.1.</w:t>
      </w:r>
    </w:p>
    <w:p w14:paraId="096C59A9" w14:textId="77777777" w:rsidR="002B02D6" w:rsidRDefault="002B02D6">
      <w:pPr>
        <w:pStyle w:val="NormalWeb"/>
        <w:spacing w:before="0" w:beforeAutospacing="0" w:after="0" w:afterAutospacing="0"/>
        <w:divId w:val="603804397"/>
        <w:rPr>
          <w:sz w:val="22"/>
          <w:szCs w:val="22"/>
        </w:rPr>
      </w:pPr>
      <w:r>
        <w:rPr>
          <w:sz w:val="22"/>
          <w:szCs w:val="22"/>
        </w:rPr>
        <w:t> </w:t>
      </w:r>
    </w:p>
    <w:p w14:paraId="1CB8640A" w14:textId="77777777" w:rsidR="002B02D6" w:rsidRDefault="002B02D6">
      <w:pPr>
        <w:pStyle w:val="NormalWeb"/>
      </w:pPr>
      <w:r>
        <w:t>3. PHARMACEUTICAL FORM</w:t>
      </w:r>
    </w:p>
    <w:p w14:paraId="68E29D96" w14:textId="77777777" w:rsidR="002B02D6" w:rsidRDefault="002B02D6">
      <w:pPr>
        <w:pStyle w:val="NormalWeb"/>
        <w:spacing w:before="0" w:beforeAutospacing="0" w:after="0" w:afterAutospacing="0"/>
        <w:divId w:val="1865051324"/>
        <w:rPr>
          <w:sz w:val="22"/>
          <w:szCs w:val="22"/>
        </w:rPr>
      </w:pPr>
      <w:r>
        <w:rPr>
          <w:sz w:val="22"/>
          <w:szCs w:val="22"/>
        </w:rPr>
        <w:t> </w:t>
      </w:r>
    </w:p>
    <w:p w14:paraId="58C4680B" w14:textId="77777777" w:rsidR="002B02D6" w:rsidRDefault="002B02D6">
      <w:pPr>
        <w:pStyle w:val="NormalWeb"/>
        <w:spacing w:before="0" w:beforeAutospacing="0" w:after="0" w:afterAutospacing="0"/>
        <w:divId w:val="1865051324"/>
        <w:rPr>
          <w:sz w:val="22"/>
          <w:szCs w:val="22"/>
        </w:rPr>
      </w:pPr>
      <w:r>
        <w:rPr>
          <w:sz w:val="22"/>
          <w:szCs w:val="22"/>
        </w:rPr>
        <w:t>Dispersion for injection (injection).</w:t>
      </w:r>
    </w:p>
    <w:p w14:paraId="01D86510" w14:textId="77777777" w:rsidR="002B02D6" w:rsidRDefault="002B02D6">
      <w:pPr>
        <w:pStyle w:val="NormalWeb"/>
        <w:spacing w:before="0" w:beforeAutospacing="0" w:after="0" w:afterAutospacing="0"/>
        <w:divId w:val="1865051324"/>
        <w:rPr>
          <w:sz w:val="22"/>
          <w:szCs w:val="22"/>
        </w:rPr>
      </w:pPr>
      <w:r>
        <w:rPr>
          <w:sz w:val="22"/>
          <w:szCs w:val="22"/>
        </w:rPr>
        <w:t> </w:t>
      </w:r>
    </w:p>
    <w:p w14:paraId="65A9BBFA" w14:textId="77777777" w:rsidR="002B02D6" w:rsidRDefault="002B02D6">
      <w:pPr>
        <w:pStyle w:val="NormalWeb"/>
        <w:spacing w:before="0" w:beforeAutospacing="0" w:after="0" w:afterAutospacing="0"/>
        <w:divId w:val="1865051324"/>
        <w:rPr>
          <w:sz w:val="22"/>
          <w:szCs w:val="22"/>
        </w:rPr>
      </w:pPr>
      <w:r>
        <w:rPr>
          <w:sz w:val="22"/>
          <w:szCs w:val="22"/>
        </w:rPr>
        <w:t>The dispersion is colourless to slightly yellow, clear to mildly opalescent (pH 7.2)</w:t>
      </w:r>
    </w:p>
    <w:p w14:paraId="3B9D4342" w14:textId="77777777" w:rsidR="002B02D6" w:rsidRDefault="002B02D6">
      <w:pPr>
        <w:pStyle w:val="NormalWeb"/>
        <w:spacing w:before="0" w:beforeAutospacing="0" w:after="0" w:afterAutospacing="0"/>
        <w:divId w:val="1865051324"/>
        <w:rPr>
          <w:sz w:val="22"/>
          <w:szCs w:val="22"/>
        </w:rPr>
      </w:pPr>
      <w:r>
        <w:rPr>
          <w:sz w:val="22"/>
          <w:szCs w:val="22"/>
        </w:rPr>
        <w:t> </w:t>
      </w:r>
    </w:p>
    <w:p w14:paraId="1B2A18DD" w14:textId="77777777" w:rsidR="002B02D6" w:rsidRDefault="002B02D6">
      <w:pPr>
        <w:pStyle w:val="NormalWeb"/>
      </w:pPr>
      <w:r>
        <w:t>4. CLINICAL PARTICULARS</w:t>
      </w:r>
    </w:p>
    <w:p w14:paraId="3908A09D" w14:textId="77777777" w:rsidR="002B02D6" w:rsidRDefault="002B02D6">
      <w:pPr>
        <w:divId w:val="388460424"/>
        <w:rPr>
          <w:rFonts w:eastAsia="Times New Roman"/>
        </w:rPr>
      </w:pPr>
      <w:r>
        <w:rPr>
          <w:rFonts w:eastAsia="Times New Roman"/>
        </w:rPr>
        <w:t> </w:t>
      </w:r>
    </w:p>
    <w:p w14:paraId="1B068812" w14:textId="77777777" w:rsidR="002B02D6" w:rsidRDefault="002B02D6">
      <w:pPr>
        <w:pStyle w:val="NormalWeb"/>
      </w:pPr>
      <w:r>
        <w:t>4.1 Therapeutic indications</w:t>
      </w:r>
    </w:p>
    <w:p w14:paraId="649ED6A1" w14:textId="77777777" w:rsidR="002B02D6" w:rsidRDefault="002B02D6">
      <w:pPr>
        <w:pStyle w:val="NormalWeb"/>
        <w:spacing w:before="0" w:beforeAutospacing="0" w:after="0" w:afterAutospacing="0"/>
        <w:divId w:val="1537738759"/>
        <w:rPr>
          <w:sz w:val="22"/>
          <w:szCs w:val="22"/>
        </w:rPr>
      </w:pPr>
      <w:r>
        <w:rPr>
          <w:sz w:val="22"/>
          <w:szCs w:val="22"/>
        </w:rPr>
        <w:t> </w:t>
      </w:r>
    </w:p>
    <w:p w14:paraId="3C9CD241" w14:textId="77777777" w:rsidR="002B02D6" w:rsidRDefault="002B02D6">
      <w:pPr>
        <w:pStyle w:val="NormalWeb"/>
        <w:spacing w:before="0" w:beforeAutospacing="0" w:after="0" w:afterAutospacing="0"/>
        <w:divId w:val="1537738759"/>
        <w:rPr>
          <w:sz w:val="22"/>
          <w:szCs w:val="22"/>
        </w:rPr>
      </w:pPr>
      <w:r>
        <w:rPr>
          <w:sz w:val="22"/>
          <w:szCs w:val="22"/>
        </w:rPr>
        <w:t>Nuvaxovid is indicated for active immunisation to prevent COVID-19 caused by SARS-CoV-2 in individuals 12 years of age and older.</w:t>
      </w:r>
    </w:p>
    <w:p w14:paraId="673AD370" w14:textId="77777777" w:rsidR="002B02D6" w:rsidRDefault="002B02D6">
      <w:pPr>
        <w:pStyle w:val="NormalWeb"/>
        <w:spacing w:before="0" w:beforeAutospacing="0" w:after="0" w:afterAutospacing="0"/>
        <w:divId w:val="1537738759"/>
        <w:rPr>
          <w:sz w:val="22"/>
          <w:szCs w:val="22"/>
        </w:rPr>
      </w:pPr>
      <w:r>
        <w:rPr>
          <w:sz w:val="22"/>
          <w:szCs w:val="22"/>
        </w:rPr>
        <w:t> </w:t>
      </w:r>
    </w:p>
    <w:p w14:paraId="56CE68FF" w14:textId="77777777" w:rsidR="002B02D6" w:rsidRDefault="002B02D6">
      <w:pPr>
        <w:pStyle w:val="NormalWeb"/>
        <w:spacing w:before="0" w:beforeAutospacing="0" w:after="0" w:afterAutospacing="0"/>
        <w:divId w:val="1537738759"/>
        <w:rPr>
          <w:sz w:val="22"/>
          <w:szCs w:val="22"/>
        </w:rPr>
      </w:pPr>
      <w:r>
        <w:rPr>
          <w:sz w:val="22"/>
          <w:szCs w:val="22"/>
        </w:rPr>
        <w:t>The use of this vaccine should be in accordance with official recommendations.</w:t>
      </w:r>
    </w:p>
    <w:p w14:paraId="479EDB66" w14:textId="77777777" w:rsidR="002B02D6" w:rsidRDefault="002B02D6">
      <w:pPr>
        <w:pStyle w:val="NormalWeb"/>
        <w:spacing w:before="0" w:beforeAutospacing="0" w:after="0" w:afterAutospacing="0"/>
        <w:divId w:val="1537738759"/>
        <w:rPr>
          <w:sz w:val="22"/>
          <w:szCs w:val="22"/>
        </w:rPr>
      </w:pPr>
      <w:r>
        <w:rPr>
          <w:sz w:val="22"/>
          <w:szCs w:val="22"/>
        </w:rPr>
        <w:lastRenderedPageBreak/>
        <w:t> </w:t>
      </w:r>
    </w:p>
    <w:p w14:paraId="3453ACF3" w14:textId="77777777" w:rsidR="002B02D6" w:rsidRDefault="002B02D6">
      <w:pPr>
        <w:pStyle w:val="NormalWeb"/>
      </w:pPr>
      <w:r>
        <w:t>4.2 Posology and method of administration</w:t>
      </w:r>
    </w:p>
    <w:p w14:paraId="091EB867" w14:textId="77777777" w:rsidR="002B02D6" w:rsidRDefault="002B02D6">
      <w:pPr>
        <w:divId w:val="1927957755"/>
        <w:rPr>
          <w:rFonts w:eastAsia="Times New Roman"/>
        </w:rPr>
      </w:pPr>
      <w:r>
        <w:rPr>
          <w:rFonts w:eastAsia="Times New Roman"/>
        </w:rPr>
        <w:t> </w:t>
      </w:r>
    </w:p>
    <w:p w14:paraId="7A94FDE3" w14:textId="77777777" w:rsidR="002B02D6" w:rsidRDefault="002B02D6">
      <w:pPr>
        <w:pStyle w:val="NormalWeb"/>
      </w:pPr>
      <w:r>
        <w:t>Posology</w:t>
      </w:r>
    </w:p>
    <w:p w14:paraId="40DCEFB1" w14:textId="77777777" w:rsidR="002B02D6" w:rsidRDefault="002B02D6">
      <w:pPr>
        <w:pStyle w:val="NormalWeb"/>
        <w:spacing w:before="0" w:beforeAutospacing="0" w:after="0" w:afterAutospacing="0"/>
        <w:divId w:val="1589777062"/>
        <w:rPr>
          <w:sz w:val="22"/>
          <w:szCs w:val="22"/>
        </w:rPr>
      </w:pPr>
      <w:r>
        <w:rPr>
          <w:rStyle w:val="Emphasis"/>
          <w:sz w:val="22"/>
          <w:szCs w:val="22"/>
        </w:rPr>
        <w:t>Primary vaccination series</w:t>
      </w:r>
    </w:p>
    <w:p w14:paraId="76E4274C" w14:textId="77777777" w:rsidR="002B02D6" w:rsidRDefault="002B02D6">
      <w:pPr>
        <w:pStyle w:val="NormalWeb"/>
        <w:spacing w:before="0" w:beforeAutospacing="0" w:after="0" w:afterAutospacing="0"/>
        <w:divId w:val="1589777062"/>
        <w:rPr>
          <w:sz w:val="22"/>
          <w:szCs w:val="22"/>
        </w:rPr>
      </w:pPr>
      <w:r>
        <w:rPr>
          <w:rStyle w:val="Emphasis"/>
          <w:sz w:val="22"/>
          <w:szCs w:val="22"/>
          <w:u w:val="single"/>
        </w:rPr>
        <w:t>Individuals 12 years of age and older</w:t>
      </w:r>
    </w:p>
    <w:p w14:paraId="29C4922F" w14:textId="77777777" w:rsidR="002B02D6" w:rsidRDefault="002B02D6">
      <w:pPr>
        <w:pStyle w:val="NormalWeb"/>
        <w:spacing w:before="0" w:beforeAutospacing="0" w:after="0" w:afterAutospacing="0"/>
        <w:divId w:val="1589777062"/>
        <w:rPr>
          <w:sz w:val="22"/>
          <w:szCs w:val="22"/>
        </w:rPr>
      </w:pPr>
      <w:r>
        <w:rPr>
          <w:sz w:val="22"/>
          <w:szCs w:val="22"/>
        </w:rPr>
        <w:t>Nuvaxovid is administered intramuscularly as a course of 2 doses of 0.5 mL each. It is recommended to administer the second dose 3 weeks after the first dose (see section 5.1).</w:t>
      </w:r>
    </w:p>
    <w:p w14:paraId="7528ED69" w14:textId="77777777" w:rsidR="002B02D6" w:rsidRDefault="002B02D6">
      <w:pPr>
        <w:pStyle w:val="NormalWeb"/>
        <w:spacing w:before="0" w:beforeAutospacing="0" w:after="0" w:afterAutospacing="0"/>
        <w:divId w:val="1589777062"/>
        <w:rPr>
          <w:sz w:val="22"/>
          <w:szCs w:val="22"/>
        </w:rPr>
      </w:pPr>
      <w:r>
        <w:rPr>
          <w:sz w:val="22"/>
          <w:szCs w:val="22"/>
        </w:rPr>
        <w:t> </w:t>
      </w:r>
    </w:p>
    <w:p w14:paraId="3E28DB44" w14:textId="77777777" w:rsidR="002B02D6" w:rsidRDefault="002B02D6">
      <w:pPr>
        <w:pStyle w:val="NormalWeb"/>
        <w:spacing w:before="0" w:beforeAutospacing="0" w:after="0" w:afterAutospacing="0"/>
        <w:divId w:val="1589777062"/>
        <w:rPr>
          <w:sz w:val="22"/>
          <w:szCs w:val="22"/>
        </w:rPr>
      </w:pPr>
      <w:r>
        <w:rPr>
          <w:rStyle w:val="Emphasis"/>
          <w:sz w:val="22"/>
          <w:szCs w:val="22"/>
          <w:u w:val="single"/>
        </w:rPr>
        <w:t>Interchangeability</w:t>
      </w:r>
    </w:p>
    <w:p w14:paraId="40709ECA" w14:textId="77777777" w:rsidR="002B02D6" w:rsidRDefault="002B02D6">
      <w:pPr>
        <w:pStyle w:val="NormalWeb"/>
        <w:spacing w:before="0" w:beforeAutospacing="0" w:after="0" w:afterAutospacing="0"/>
        <w:divId w:val="1589777062"/>
        <w:rPr>
          <w:sz w:val="22"/>
          <w:szCs w:val="22"/>
        </w:rPr>
      </w:pPr>
      <w:r>
        <w:rPr>
          <w:sz w:val="22"/>
          <w:szCs w:val="22"/>
        </w:rPr>
        <w:t>There are no data available on the interchangeability of Nuvaxovid with other COVID-19 vaccines to complete the primary vaccination course. Individuals who have received a first dose of Nuvaxovid should receive the second dose of Nuvaxovid to complete the vaccination course.</w:t>
      </w:r>
    </w:p>
    <w:p w14:paraId="3B88721E" w14:textId="77777777" w:rsidR="002B02D6" w:rsidRDefault="002B02D6">
      <w:pPr>
        <w:pStyle w:val="NormalWeb"/>
        <w:spacing w:before="0" w:beforeAutospacing="0" w:after="0" w:afterAutospacing="0" w:line="260" w:lineRule="atLeast"/>
        <w:divId w:val="1589777062"/>
        <w:rPr>
          <w:sz w:val="22"/>
          <w:szCs w:val="22"/>
        </w:rPr>
      </w:pPr>
      <w:r>
        <w:rPr>
          <w:rStyle w:val="Emphasis"/>
          <w:sz w:val="22"/>
          <w:szCs w:val="22"/>
        </w:rPr>
        <w:t>Booster dose</w:t>
      </w:r>
    </w:p>
    <w:p w14:paraId="7C8EAE5B" w14:textId="77777777" w:rsidR="002B02D6" w:rsidRDefault="002B02D6">
      <w:pPr>
        <w:pStyle w:val="NormalWeb"/>
        <w:spacing w:before="0" w:beforeAutospacing="0" w:after="0" w:afterAutospacing="0" w:line="260" w:lineRule="atLeast"/>
        <w:divId w:val="1589777062"/>
        <w:rPr>
          <w:sz w:val="22"/>
          <w:szCs w:val="22"/>
        </w:rPr>
      </w:pPr>
      <w:r>
        <w:rPr>
          <w:rStyle w:val="Emphasis"/>
          <w:sz w:val="22"/>
          <w:szCs w:val="22"/>
          <w:u w:val="single"/>
        </w:rPr>
        <w:t>Booster dose in individuals 12 years of age and older</w:t>
      </w:r>
    </w:p>
    <w:p w14:paraId="08C3C183" w14:textId="77777777" w:rsidR="002B02D6" w:rsidRDefault="002B02D6">
      <w:pPr>
        <w:pStyle w:val="NormalWeb"/>
        <w:spacing w:before="0" w:beforeAutospacing="0" w:after="0" w:afterAutospacing="0" w:line="260" w:lineRule="atLeast"/>
        <w:divId w:val="1589777062"/>
        <w:rPr>
          <w:sz w:val="22"/>
          <w:szCs w:val="22"/>
        </w:rPr>
      </w:pPr>
      <w:r>
        <w:rPr>
          <w:sz w:val="22"/>
          <w:szCs w:val="22"/>
        </w:rPr>
        <w:t>A booster dose of Nuvaxovid (0.5 mL) may be administered intramuscularly approximately 3 months after the primary series of Nuvaxovid in individuals 12 </w:t>
      </w:r>
      <w:r>
        <w:rPr>
          <w:sz w:val="22"/>
          <w:szCs w:val="22"/>
        </w:rPr>
        <w:t xml:space="preserve">years of age and older </w:t>
      </w:r>
      <w:r>
        <w:rPr>
          <w:rStyle w:val="Emphasis"/>
          <w:sz w:val="22"/>
          <w:szCs w:val="22"/>
        </w:rPr>
        <w:t>(</w:t>
      </w:r>
      <w:r>
        <w:rPr>
          <w:sz w:val="22"/>
          <w:szCs w:val="22"/>
        </w:rPr>
        <w:t>homologous booster dose</w:t>
      </w:r>
      <w:r>
        <w:rPr>
          <w:rStyle w:val="Emphasis"/>
          <w:sz w:val="22"/>
          <w:szCs w:val="22"/>
        </w:rPr>
        <w:t>).</w:t>
      </w:r>
    </w:p>
    <w:p w14:paraId="58E37A02" w14:textId="77777777" w:rsidR="002B02D6" w:rsidRDefault="002B02D6">
      <w:pPr>
        <w:pStyle w:val="NormalWeb"/>
        <w:spacing w:before="0" w:beforeAutospacing="0" w:after="0" w:afterAutospacing="0"/>
        <w:divId w:val="1589777062"/>
        <w:rPr>
          <w:sz w:val="22"/>
          <w:szCs w:val="22"/>
        </w:rPr>
      </w:pPr>
      <w:r>
        <w:rPr>
          <w:sz w:val="22"/>
          <w:szCs w:val="22"/>
        </w:rPr>
        <w:t>Nuvaxovid may also be given as a booster dose in individuals 18 years of age and older following a primary series comprised of an mRNA vaccine or adenoviral vector vaccine (heterologous booster dose). The dosing interval for the heterologous booster dose is the same as that authorised for a booster dose of the vaccine used for primary vaccination (see section 5.1).</w:t>
      </w:r>
    </w:p>
    <w:p w14:paraId="29CC7A24" w14:textId="77777777" w:rsidR="002B02D6" w:rsidRDefault="002B02D6">
      <w:pPr>
        <w:pStyle w:val="NormalWeb"/>
        <w:spacing w:before="0" w:beforeAutospacing="0" w:after="0" w:afterAutospacing="0"/>
        <w:divId w:val="1589777062"/>
        <w:rPr>
          <w:sz w:val="22"/>
          <w:szCs w:val="22"/>
        </w:rPr>
      </w:pPr>
      <w:r>
        <w:rPr>
          <w:sz w:val="22"/>
          <w:szCs w:val="22"/>
        </w:rPr>
        <w:t> </w:t>
      </w:r>
    </w:p>
    <w:p w14:paraId="247681A2" w14:textId="77777777" w:rsidR="002B02D6" w:rsidRDefault="002B02D6">
      <w:pPr>
        <w:pStyle w:val="NormalWeb"/>
        <w:spacing w:before="0" w:beforeAutospacing="0" w:after="0" w:afterAutospacing="0"/>
        <w:divId w:val="1589777062"/>
        <w:rPr>
          <w:sz w:val="22"/>
          <w:szCs w:val="22"/>
        </w:rPr>
      </w:pPr>
      <w:r>
        <w:rPr>
          <w:rStyle w:val="Emphasis"/>
          <w:sz w:val="22"/>
          <w:szCs w:val="22"/>
        </w:rPr>
        <w:t>Paediatric population</w:t>
      </w:r>
    </w:p>
    <w:p w14:paraId="7157F36C" w14:textId="77777777" w:rsidR="002B02D6" w:rsidRDefault="002B02D6">
      <w:pPr>
        <w:pStyle w:val="NormalWeb"/>
        <w:spacing w:before="0" w:beforeAutospacing="0" w:after="0" w:afterAutospacing="0"/>
        <w:divId w:val="1589777062"/>
        <w:rPr>
          <w:color w:val="000000"/>
        </w:rPr>
      </w:pPr>
      <w:r>
        <w:rPr>
          <w:sz w:val="22"/>
          <w:szCs w:val="22"/>
        </w:rPr>
        <w:t>The safety and efficacy of Nuvaxovid in children aged less than 12 </w:t>
      </w:r>
      <w:r>
        <w:rPr>
          <w:sz w:val="22"/>
          <w:szCs w:val="22"/>
        </w:rPr>
        <w:t>years have not yet been established. No data are available.</w:t>
      </w:r>
    </w:p>
    <w:p w14:paraId="562272B0" w14:textId="77777777" w:rsidR="002B02D6" w:rsidRDefault="002B02D6">
      <w:pPr>
        <w:pStyle w:val="NormalWeb"/>
        <w:spacing w:before="0" w:beforeAutospacing="0" w:after="0" w:afterAutospacing="0"/>
        <w:divId w:val="1589777062"/>
        <w:rPr>
          <w:sz w:val="22"/>
          <w:szCs w:val="22"/>
        </w:rPr>
      </w:pPr>
      <w:r>
        <w:rPr>
          <w:sz w:val="22"/>
          <w:szCs w:val="22"/>
        </w:rPr>
        <w:t> </w:t>
      </w:r>
    </w:p>
    <w:p w14:paraId="0296BEE8" w14:textId="77777777" w:rsidR="002B02D6" w:rsidRDefault="002B02D6">
      <w:pPr>
        <w:pStyle w:val="NormalWeb"/>
        <w:spacing w:before="0" w:beforeAutospacing="0" w:after="0" w:afterAutospacing="0"/>
        <w:divId w:val="1589777062"/>
        <w:rPr>
          <w:sz w:val="22"/>
          <w:szCs w:val="22"/>
        </w:rPr>
      </w:pPr>
      <w:r>
        <w:rPr>
          <w:rStyle w:val="Emphasis"/>
          <w:sz w:val="22"/>
          <w:szCs w:val="22"/>
        </w:rPr>
        <w:t>Elderly population</w:t>
      </w:r>
    </w:p>
    <w:p w14:paraId="6C266C25" w14:textId="77777777" w:rsidR="002B02D6" w:rsidRDefault="002B02D6">
      <w:pPr>
        <w:pStyle w:val="NormalWeb"/>
        <w:spacing w:before="0" w:beforeAutospacing="0" w:after="0" w:afterAutospacing="0"/>
        <w:divId w:val="1589777062"/>
        <w:rPr>
          <w:color w:val="000000"/>
        </w:rPr>
      </w:pPr>
      <w:r>
        <w:rPr>
          <w:sz w:val="22"/>
          <w:szCs w:val="22"/>
        </w:rPr>
        <w:t>No dose adjustment is required in elderly individuals ≥ 65 years of age.</w:t>
      </w:r>
    </w:p>
    <w:p w14:paraId="190FCB8C" w14:textId="77777777" w:rsidR="002B02D6" w:rsidRDefault="002B02D6">
      <w:pPr>
        <w:pStyle w:val="NormalWeb"/>
        <w:spacing w:before="0" w:beforeAutospacing="0" w:after="0" w:afterAutospacing="0"/>
        <w:divId w:val="1589777062"/>
        <w:rPr>
          <w:color w:val="000000"/>
        </w:rPr>
      </w:pPr>
      <w:r>
        <w:rPr>
          <w:color w:val="000000"/>
        </w:rPr>
        <w:t> </w:t>
      </w:r>
    </w:p>
    <w:p w14:paraId="0E0066E5" w14:textId="77777777" w:rsidR="002B02D6" w:rsidRDefault="002B02D6">
      <w:pPr>
        <w:pStyle w:val="NormalWeb"/>
      </w:pPr>
      <w:r>
        <w:t>Method of administration</w:t>
      </w:r>
    </w:p>
    <w:p w14:paraId="40781909" w14:textId="77777777" w:rsidR="002B02D6" w:rsidRDefault="002B02D6">
      <w:pPr>
        <w:pStyle w:val="NormalWeb"/>
        <w:divId w:val="1877963367"/>
      </w:pPr>
      <w:r>
        <w:t> </w:t>
      </w:r>
    </w:p>
    <w:p w14:paraId="5A6550CD" w14:textId="77777777" w:rsidR="002B02D6" w:rsidRDefault="002B02D6">
      <w:pPr>
        <w:pStyle w:val="NormalWeb"/>
        <w:spacing w:before="0" w:beforeAutospacing="0" w:after="0" w:afterAutospacing="0"/>
        <w:divId w:val="1877963367"/>
        <w:rPr>
          <w:sz w:val="22"/>
          <w:szCs w:val="22"/>
        </w:rPr>
      </w:pPr>
      <w:r>
        <w:rPr>
          <w:sz w:val="22"/>
          <w:szCs w:val="22"/>
        </w:rPr>
        <w:t>Nuvaxovid is for intramuscular injection only, preferably into the deltoid muscle of the upper arm.</w:t>
      </w:r>
    </w:p>
    <w:p w14:paraId="7BD99CD7" w14:textId="77777777" w:rsidR="002B02D6" w:rsidRDefault="002B02D6">
      <w:pPr>
        <w:pStyle w:val="NormalWeb"/>
        <w:spacing w:before="0" w:beforeAutospacing="0" w:after="0" w:afterAutospacing="0"/>
        <w:divId w:val="1877963367"/>
        <w:rPr>
          <w:sz w:val="22"/>
          <w:szCs w:val="22"/>
        </w:rPr>
      </w:pPr>
      <w:r>
        <w:rPr>
          <w:sz w:val="22"/>
          <w:szCs w:val="22"/>
        </w:rPr>
        <w:t> </w:t>
      </w:r>
    </w:p>
    <w:p w14:paraId="6662D22C" w14:textId="77777777" w:rsidR="002B02D6" w:rsidRDefault="002B02D6">
      <w:pPr>
        <w:pStyle w:val="NormalWeb"/>
        <w:spacing w:before="0" w:beforeAutospacing="0" w:after="0" w:afterAutospacing="0"/>
        <w:divId w:val="1877963367"/>
        <w:rPr>
          <w:sz w:val="22"/>
          <w:szCs w:val="22"/>
        </w:rPr>
      </w:pPr>
      <w:r>
        <w:rPr>
          <w:sz w:val="22"/>
          <w:szCs w:val="22"/>
        </w:rPr>
        <w:t>Do not inject the vaccine intravascularly, subcutaneously, or intradermally.</w:t>
      </w:r>
    </w:p>
    <w:p w14:paraId="7825DBBD" w14:textId="77777777" w:rsidR="002B02D6" w:rsidRDefault="002B02D6">
      <w:pPr>
        <w:pStyle w:val="NormalWeb"/>
        <w:spacing w:before="0" w:beforeAutospacing="0" w:after="0" w:afterAutospacing="0"/>
        <w:divId w:val="1877963367"/>
        <w:rPr>
          <w:sz w:val="22"/>
          <w:szCs w:val="22"/>
        </w:rPr>
      </w:pPr>
      <w:r>
        <w:rPr>
          <w:sz w:val="22"/>
          <w:szCs w:val="22"/>
        </w:rPr>
        <w:t> </w:t>
      </w:r>
    </w:p>
    <w:p w14:paraId="5F6BE83B" w14:textId="77777777" w:rsidR="002B02D6" w:rsidRDefault="002B02D6">
      <w:pPr>
        <w:pStyle w:val="NormalWeb"/>
        <w:spacing w:before="0" w:beforeAutospacing="0" w:after="0" w:afterAutospacing="0"/>
        <w:divId w:val="1877963367"/>
        <w:rPr>
          <w:sz w:val="22"/>
          <w:szCs w:val="22"/>
        </w:rPr>
      </w:pPr>
      <w:r>
        <w:rPr>
          <w:sz w:val="22"/>
          <w:szCs w:val="22"/>
        </w:rPr>
        <w:t>The vaccine should not be mixed in the same syringe with any other vaccines or medicinal products.</w:t>
      </w:r>
    </w:p>
    <w:p w14:paraId="49B901F7" w14:textId="77777777" w:rsidR="002B02D6" w:rsidRDefault="002B02D6">
      <w:pPr>
        <w:pStyle w:val="NormalWeb"/>
        <w:spacing w:before="0" w:beforeAutospacing="0" w:after="0" w:afterAutospacing="0"/>
        <w:divId w:val="1877963367"/>
        <w:rPr>
          <w:sz w:val="22"/>
          <w:szCs w:val="22"/>
        </w:rPr>
      </w:pPr>
      <w:r>
        <w:rPr>
          <w:sz w:val="22"/>
          <w:szCs w:val="22"/>
        </w:rPr>
        <w:t> </w:t>
      </w:r>
    </w:p>
    <w:p w14:paraId="598D3519" w14:textId="77777777" w:rsidR="002B02D6" w:rsidRDefault="002B02D6">
      <w:pPr>
        <w:pStyle w:val="NormalWeb"/>
        <w:spacing w:before="0" w:beforeAutospacing="0" w:after="0" w:afterAutospacing="0"/>
        <w:divId w:val="1877963367"/>
        <w:rPr>
          <w:sz w:val="22"/>
          <w:szCs w:val="22"/>
        </w:rPr>
      </w:pPr>
      <w:r>
        <w:rPr>
          <w:sz w:val="22"/>
          <w:szCs w:val="22"/>
        </w:rPr>
        <w:t>For precautions to be taken before administering the vaccine, see section 4.4.</w:t>
      </w:r>
    </w:p>
    <w:p w14:paraId="193AEE28" w14:textId="77777777" w:rsidR="002B02D6" w:rsidRDefault="002B02D6">
      <w:pPr>
        <w:pStyle w:val="NormalWeb"/>
        <w:spacing w:before="0" w:beforeAutospacing="0" w:after="0" w:afterAutospacing="0"/>
        <w:divId w:val="1877963367"/>
        <w:rPr>
          <w:sz w:val="22"/>
          <w:szCs w:val="22"/>
        </w:rPr>
      </w:pPr>
      <w:r>
        <w:rPr>
          <w:sz w:val="22"/>
          <w:szCs w:val="22"/>
        </w:rPr>
        <w:t> </w:t>
      </w:r>
    </w:p>
    <w:p w14:paraId="04CF217E" w14:textId="77777777" w:rsidR="002B02D6" w:rsidRDefault="002B02D6">
      <w:pPr>
        <w:pStyle w:val="NormalWeb"/>
        <w:divId w:val="1877963367"/>
      </w:pPr>
      <w:r>
        <w:rPr>
          <w:sz w:val="22"/>
          <w:szCs w:val="22"/>
        </w:rPr>
        <w:t>For instructions on handling and disposal of the vaccine, see section 6.6.</w:t>
      </w:r>
    </w:p>
    <w:p w14:paraId="194491A7" w14:textId="77777777" w:rsidR="002B02D6" w:rsidRDefault="002B02D6">
      <w:pPr>
        <w:pStyle w:val="NormalWeb"/>
        <w:divId w:val="1877963367"/>
      </w:pPr>
      <w:r>
        <w:t> </w:t>
      </w:r>
    </w:p>
    <w:p w14:paraId="769473F4" w14:textId="77777777" w:rsidR="002B02D6" w:rsidRDefault="002B02D6">
      <w:pPr>
        <w:pStyle w:val="NormalWeb"/>
      </w:pPr>
      <w:r>
        <w:t>4.3 Contraindications</w:t>
      </w:r>
    </w:p>
    <w:p w14:paraId="38315200" w14:textId="77777777" w:rsidR="002B02D6" w:rsidRDefault="002B02D6">
      <w:pPr>
        <w:pStyle w:val="NormalWeb"/>
        <w:divId w:val="1891527782"/>
      </w:pPr>
      <w:r>
        <w:t> </w:t>
      </w:r>
    </w:p>
    <w:p w14:paraId="5723954D" w14:textId="77777777" w:rsidR="002B02D6" w:rsidRDefault="002B02D6">
      <w:pPr>
        <w:pStyle w:val="NormalWeb"/>
        <w:spacing w:before="0" w:beforeAutospacing="0" w:after="0" w:afterAutospacing="0"/>
        <w:divId w:val="1891527782"/>
        <w:rPr>
          <w:sz w:val="22"/>
          <w:szCs w:val="22"/>
        </w:rPr>
      </w:pPr>
      <w:r>
        <w:rPr>
          <w:sz w:val="22"/>
          <w:szCs w:val="22"/>
        </w:rPr>
        <w:t>Hypersensitivity to the active substance or to any of the excipients listed in section 6.1.</w:t>
      </w:r>
    </w:p>
    <w:p w14:paraId="0B2399DF" w14:textId="77777777" w:rsidR="002B02D6" w:rsidRDefault="002B02D6">
      <w:pPr>
        <w:pStyle w:val="NormalWeb"/>
        <w:spacing w:before="0" w:beforeAutospacing="0" w:after="0" w:afterAutospacing="0"/>
        <w:divId w:val="1891527782"/>
        <w:rPr>
          <w:sz w:val="22"/>
          <w:szCs w:val="22"/>
        </w:rPr>
      </w:pPr>
      <w:r>
        <w:rPr>
          <w:sz w:val="22"/>
          <w:szCs w:val="22"/>
        </w:rPr>
        <w:t> </w:t>
      </w:r>
    </w:p>
    <w:p w14:paraId="6FD2ACE4" w14:textId="77777777" w:rsidR="002B02D6" w:rsidRDefault="002B02D6">
      <w:pPr>
        <w:pStyle w:val="NormalWeb"/>
        <w:spacing w:before="0" w:beforeAutospacing="0" w:after="0" w:afterAutospacing="0"/>
        <w:divId w:val="1891527782"/>
        <w:rPr>
          <w:sz w:val="22"/>
          <w:szCs w:val="22"/>
        </w:rPr>
      </w:pPr>
      <w:r>
        <w:rPr>
          <w:sz w:val="22"/>
          <w:szCs w:val="22"/>
        </w:rPr>
        <w:t> </w:t>
      </w:r>
    </w:p>
    <w:p w14:paraId="003F9F78" w14:textId="77777777" w:rsidR="002B02D6" w:rsidRDefault="002B02D6">
      <w:pPr>
        <w:pStyle w:val="NormalWeb"/>
      </w:pPr>
      <w:r>
        <w:t>4.4 Special warnings and precautions for use</w:t>
      </w:r>
    </w:p>
    <w:p w14:paraId="23D55CA4" w14:textId="77777777" w:rsidR="002B02D6" w:rsidRDefault="002B02D6">
      <w:pPr>
        <w:pStyle w:val="NormalWeb"/>
        <w:divId w:val="795027828"/>
      </w:pPr>
      <w:r>
        <w:t> </w:t>
      </w:r>
    </w:p>
    <w:p w14:paraId="4B4FD333" w14:textId="77777777" w:rsidR="002B02D6" w:rsidRDefault="002B02D6">
      <w:pPr>
        <w:pStyle w:val="NormalWeb"/>
        <w:spacing w:before="0" w:beforeAutospacing="0" w:after="0" w:afterAutospacing="0"/>
        <w:divId w:val="795027828"/>
        <w:rPr>
          <w:sz w:val="22"/>
          <w:szCs w:val="22"/>
        </w:rPr>
      </w:pPr>
      <w:r>
        <w:rPr>
          <w:sz w:val="22"/>
          <w:szCs w:val="22"/>
          <w:u w:val="single"/>
        </w:rPr>
        <w:t>Traceability</w:t>
      </w:r>
    </w:p>
    <w:p w14:paraId="506628AA" w14:textId="77777777" w:rsidR="002B02D6" w:rsidRDefault="002B02D6">
      <w:pPr>
        <w:pStyle w:val="NormalWeb"/>
        <w:spacing w:before="0" w:beforeAutospacing="0" w:after="0" w:afterAutospacing="0"/>
        <w:divId w:val="795027828"/>
        <w:rPr>
          <w:sz w:val="22"/>
          <w:szCs w:val="22"/>
        </w:rPr>
      </w:pPr>
      <w:r>
        <w:rPr>
          <w:sz w:val="22"/>
          <w:szCs w:val="22"/>
        </w:rPr>
        <w:t> </w:t>
      </w:r>
    </w:p>
    <w:p w14:paraId="7A32D320" w14:textId="77777777" w:rsidR="002B02D6" w:rsidRDefault="002B02D6">
      <w:pPr>
        <w:pStyle w:val="NormalWeb"/>
        <w:spacing w:before="0" w:beforeAutospacing="0" w:after="0" w:afterAutospacing="0"/>
        <w:divId w:val="795027828"/>
        <w:rPr>
          <w:sz w:val="22"/>
          <w:szCs w:val="22"/>
        </w:rPr>
      </w:pPr>
      <w:r>
        <w:rPr>
          <w:sz w:val="22"/>
          <w:szCs w:val="22"/>
        </w:rPr>
        <w:t>In order to improve the traceability of biological medicinal products, the name and the batch number of the administered product should be clearly recorded.</w:t>
      </w:r>
    </w:p>
    <w:p w14:paraId="0ADA7CDF" w14:textId="77777777" w:rsidR="002B02D6" w:rsidRDefault="002B02D6">
      <w:pPr>
        <w:pStyle w:val="NormalWeb"/>
        <w:spacing w:before="0" w:beforeAutospacing="0" w:after="0" w:afterAutospacing="0"/>
        <w:divId w:val="795027828"/>
        <w:rPr>
          <w:sz w:val="22"/>
          <w:szCs w:val="22"/>
        </w:rPr>
      </w:pPr>
      <w:r>
        <w:rPr>
          <w:sz w:val="22"/>
          <w:szCs w:val="22"/>
        </w:rPr>
        <w:t> </w:t>
      </w:r>
    </w:p>
    <w:p w14:paraId="7AF52F6E" w14:textId="77777777" w:rsidR="002B02D6" w:rsidRDefault="002B02D6">
      <w:pPr>
        <w:pStyle w:val="NormalWeb"/>
        <w:spacing w:before="0" w:beforeAutospacing="0" w:after="0" w:afterAutospacing="0"/>
        <w:divId w:val="795027828"/>
        <w:rPr>
          <w:sz w:val="22"/>
          <w:szCs w:val="22"/>
        </w:rPr>
      </w:pPr>
      <w:r>
        <w:rPr>
          <w:sz w:val="22"/>
          <w:szCs w:val="22"/>
          <w:u w:val="single"/>
        </w:rPr>
        <w:t>General recommendations</w:t>
      </w:r>
    </w:p>
    <w:p w14:paraId="2B29868C" w14:textId="77777777" w:rsidR="002B02D6" w:rsidRDefault="002B02D6">
      <w:pPr>
        <w:pStyle w:val="NormalWeb"/>
        <w:spacing w:before="0" w:beforeAutospacing="0" w:after="0" w:afterAutospacing="0"/>
        <w:divId w:val="795027828"/>
        <w:rPr>
          <w:sz w:val="22"/>
          <w:szCs w:val="22"/>
        </w:rPr>
      </w:pPr>
      <w:r>
        <w:rPr>
          <w:sz w:val="22"/>
          <w:szCs w:val="22"/>
        </w:rPr>
        <w:t> </w:t>
      </w:r>
    </w:p>
    <w:p w14:paraId="731B7ECD" w14:textId="77777777" w:rsidR="002B02D6" w:rsidRDefault="002B02D6">
      <w:pPr>
        <w:pStyle w:val="NormalWeb"/>
        <w:spacing w:before="0" w:beforeAutospacing="0" w:after="0" w:afterAutospacing="0"/>
        <w:divId w:val="795027828"/>
        <w:rPr>
          <w:sz w:val="22"/>
          <w:szCs w:val="22"/>
        </w:rPr>
      </w:pPr>
      <w:r>
        <w:rPr>
          <w:rStyle w:val="Emphasis"/>
          <w:sz w:val="22"/>
          <w:szCs w:val="22"/>
          <w:u w:val="single"/>
        </w:rPr>
        <w:t>Hypersensitivity and anaphylaxis</w:t>
      </w:r>
    </w:p>
    <w:p w14:paraId="00DC656E" w14:textId="77777777" w:rsidR="002B02D6" w:rsidRDefault="002B02D6">
      <w:pPr>
        <w:pStyle w:val="NormalWeb"/>
        <w:spacing w:before="0" w:beforeAutospacing="0" w:after="0" w:afterAutospacing="0"/>
        <w:divId w:val="795027828"/>
        <w:rPr>
          <w:sz w:val="22"/>
          <w:szCs w:val="22"/>
        </w:rPr>
      </w:pPr>
      <w:r>
        <w:rPr>
          <w:sz w:val="22"/>
          <w:szCs w:val="22"/>
        </w:rPr>
        <w:t> </w:t>
      </w:r>
    </w:p>
    <w:p w14:paraId="222BD01B" w14:textId="77777777" w:rsidR="002B02D6" w:rsidRDefault="002B02D6">
      <w:pPr>
        <w:pStyle w:val="NormalWeb"/>
        <w:spacing w:before="0" w:beforeAutospacing="0" w:after="0" w:afterAutospacing="0"/>
        <w:divId w:val="795027828"/>
        <w:rPr>
          <w:sz w:val="22"/>
          <w:szCs w:val="22"/>
        </w:rPr>
      </w:pPr>
      <w:r>
        <w:rPr>
          <w:sz w:val="22"/>
          <w:szCs w:val="22"/>
        </w:rPr>
        <w:t>Events of anaphylaxis have been reported with Nuvaxovid. Appropriate medical treatment and supervision should always be readily available in case of an anaphylactic reaction following the administration of the vaccine.</w:t>
      </w:r>
    </w:p>
    <w:p w14:paraId="05DB568F" w14:textId="77777777" w:rsidR="002B02D6" w:rsidRDefault="002B02D6">
      <w:pPr>
        <w:pStyle w:val="NormalWeb"/>
        <w:spacing w:before="0" w:beforeAutospacing="0" w:after="0" w:afterAutospacing="0"/>
        <w:divId w:val="795027828"/>
        <w:rPr>
          <w:sz w:val="22"/>
          <w:szCs w:val="22"/>
        </w:rPr>
      </w:pPr>
      <w:r>
        <w:rPr>
          <w:sz w:val="22"/>
          <w:szCs w:val="22"/>
        </w:rPr>
        <w:t> </w:t>
      </w:r>
    </w:p>
    <w:p w14:paraId="4A945426" w14:textId="77777777" w:rsidR="002B02D6" w:rsidRDefault="002B02D6">
      <w:pPr>
        <w:pStyle w:val="NormalWeb"/>
        <w:spacing w:before="0" w:beforeAutospacing="0" w:after="0" w:afterAutospacing="0"/>
        <w:divId w:val="795027828"/>
        <w:rPr>
          <w:sz w:val="22"/>
          <w:szCs w:val="22"/>
        </w:rPr>
      </w:pPr>
      <w:r>
        <w:rPr>
          <w:sz w:val="22"/>
          <w:szCs w:val="22"/>
        </w:rPr>
        <w:t>Close observation for at least 15 minutes is recommended following vaccination. An additional dose of the vaccine should not be given to those who have experienced anaphylaxis to a prior dose of Nuvaxovid.</w:t>
      </w:r>
    </w:p>
    <w:p w14:paraId="376D0DBC" w14:textId="77777777" w:rsidR="002B02D6" w:rsidRDefault="002B02D6">
      <w:pPr>
        <w:pStyle w:val="NormalWeb"/>
        <w:spacing w:before="0" w:beforeAutospacing="0" w:after="0" w:afterAutospacing="0"/>
        <w:divId w:val="795027828"/>
        <w:rPr>
          <w:sz w:val="22"/>
          <w:szCs w:val="22"/>
        </w:rPr>
      </w:pPr>
      <w:r>
        <w:rPr>
          <w:sz w:val="22"/>
          <w:szCs w:val="22"/>
        </w:rPr>
        <w:t> </w:t>
      </w:r>
    </w:p>
    <w:p w14:paraId="6DB4B1F2" w14:textId="77777777" w:rsidR="002B02D6" w:rsidRDefault="002B02D6">
      <w:pPr>
        <w:pStyle w:val="NormalWeb"/>
        <w:spacing w:before="0" w:beforeAutospacing="0" w:after="0" w:afterAutospacing="0"/>
        <w:divId w:val="795027828"/>
        <w:rPr>
          <w:sz w:val="22"/>
          <w:szCs w:val="22"/>
        </w:rPr>
      </w:pPr>
      <w:r>
        <w:rPr>
          <w:rStyle w:val="Emphasis"/>
          <w:sz w:val="22"/>
          <w:szCs w:val="22"/>
          <w:u w:val="single"/>
        </w:rPr>
        <w:t xml:space="preserve">Myocarditis and pericarditis </w:t>
      </w:r>
    </w:p>
    <w:p w14:paraId="481B8A26" w14:textId="77777777" w:rsidR="002B02D6" w:rsidRDefault="002B02D6">
      <w:pPr>
        <w:pStyle w:val="NormalWeb"/>
        <w:spacing w:before="0" w:beforeAutospacing="0" w:after="0" w:afterAutospacing="0"/>
        <w:divId w:val="795027828"/>
        <w:rPr>
          <w:sz w:val="22"/>
          <w:szCs w:val="22"/>
        </w:rPr>
      </w:pPr>
      <w:r>
        <w:rPr>
          <w:sz w:val="22"/>
          <w:szCs w:val="22"/>
        </w:rPr>
        <w:t> </w:t>
      </w:r>
    </w:p>
    <w:p w14:paraId="638FA999" w14:textId="77777777" w:rsidR="002B02D6" w:rsidRDefault="002B02D6">
      <w:pPr>
        <w:pStyle w:val="NormalWeb"/>
        <w:spacing w:before="0" w:beforeAutospacing="0" w:after="0" w:afterAutospacing="0"/>
        <w:divId w:val="795027828"/>
        <w:rPr>
          <w:sz w:val="22"/>
          <w:szCs w:val="22"/>
        </w:rPr>
      </w:pPr>
      <w:r>
        <w:rPr>
          <w:sz w:val="22"/>
          <w:szCs w:val="22"/>
        </w:rPr>
        <w:t>There is an increased risk of myocarditis and pericarditis following vaccination with Nuvaxovid. These conditions can develop within just a few days after vaccination and have primarily occurred within 14 days. (see section 4.8).</w:t>
      </w:r>
    </w:p>
    <w:p w14:paraId="196A2B99" w14:textId="77777777" w:rsidR="002B02D6" w:rsidRDefault="002B02D6">
      <w:pPr>
        <w:pStyle w:val="NormalWeb"/>
        <w:spacing w:before="0" w:beforeAutospacing="0" w:after="0" w:afterAutospacing="0"/>
        <w:divId w:val="795027828"/>
        <w:rPr>
          <w:sz w:val="22"/>
          <w:szCs w:val="22"/>
        </w:rPr>
      </w:pPr>
      <w:r>
        <w:rPr>
          <w:sz w:val="22"/>
          <w:szCs w:val="22"/>
        </w:rPr>
        <w:t>Available data suggest that the course of myocarditis and pericarditis following vaccination is not different from myocarditis or pericarditis in general.</w:t>
      </w:r>
    </w:p>
    <w:p w14:paraId="19175E55" w14:textId="77777777" w:rsidR="002B02D6" w:rsidRDefault="002B02D6">
      <w:pPr>
        <w:pStyle w:val="NormalWeb"/>
        <w:spacing w:before="0" w:beforeAutospacing="0" w:after="0" w:afterAutospacing="0"/>
        <w:divId w:val="795027828"/>
        <w:rPr>
          <w:sz w:val="22"/>
          <w:szCs w:val="22"/>
        </w:rPr>
      </w:pPr>
      <w:r>
        <w:rPr>
          <w:sz w:val="22"/>
          <w:szCs w:val="22"/>
        </w:rPr>
        <w:t>Healthcare professionals should be alert to the signs and symptoms of myocarditis and pericarditis. Vaccinees (including parents or caregivers) should be instructed to seek immediate medical attention if they develop symptoms indicative of myocarditis or pericarditis such as (acute and persisting) chest pain, shortness of breath, or palpitations following vaccination.</w:t>
      </w:r>
    </w:p>
    <w:p w14:paraId="308A9CE0" w14:textId="77777777" w:rsidR="002B02D6" w:rsidRDefault="002B02D6">
      <w:pPr>
        <w:pStyle w:val="NormalWeb"/>
        <w:spacing w:before="0" w:beforeAutospacing="0" w:after="0" w:afterAutospacing="0"/>
        <w:divId w:val="795027828"/>
        <w:rPr>
          <w:color w:val="000000"/>
        </w:rPr>
      </w:pPr>
      <w:r>
        <w:rPr>
          <w:color w:val="000000"/>
          <w:sz w:val="22"/>
          <w:szCs w:val="22"/>
        </w:rPr>
        <w:t> </w:t>
      </w:r>
    </w:p>
    <w:p w14:paraId="50B1077A" w14:textId="77777777" w:rsidR="002B02D6" w:rsidRDefault="002B02D6">
      <w:pPr>
        <w:pStyle w:val="NormalWeb"/>
        <w:spacing w:before="0" w:beforeAutospacing="0" w:after="0" w:afterAutospacing="0" w:line="260" w:lineRule="atLeast"/>
        <w:divId w:val="795027828"/>
        <w:rPr>
          <w:sz w:val="22"/>
          <w:szCs w:val="22"/>
        </w:rPr>
      </w:pPr>
      <w:r>
        <w:rPr>
          <w:sz w:val="22"/>
          <w:szCs w:val="22"/>
        </w:rPr>
        <w:t>Healthcare professionals should consult guidance and/or specialists to diagnose and treat this condition.</w:t>
      </w:r>
    </w:p>
    <w:p w14:paraId="3278C5D0" w14:textId="77777777" w:rsidR="002B02D6" w:rsidRDefault="002B02D6">
      <w:pPr>
        <w:pStyle w:val="NormalWeb"/>
        <w:spacing w:before="0" w:beforeAutospacing="0" w:after="0" w:afterAutospacing="0"/>
        <w:divId w:val="795027828"/>
        <w:rPr>
          <w:sz w:val="22"/>
          <w:szCs w:val="22"/>
        </w:rPr>
      </w:pPr>
      <w:r>
        <w:rPr>
          <w:sz w:val="22"/>
          <w:szCs w:val="22"/>
        </w:rPr>
        <w:t> </w:t>
      </w:r>
    </w:p>
    <w:p w14:paraId="5E498504" w14:textId="77777777" w:rsidR="002B02D6" w:rsidRDefault="002B02D6">
      <w:pPr>
        <w:pStyle w:val="NormalWeb"/>
        <w:spacing w:before="0" w:beforeAutospacing="0" w:after="0" w:afterAutospacing="0"/>
        <w:divId w:val="795027828"/>
        <w:rPr>
          <w:sz w:val="22"/>
          <w:szCs w:val="22"/>
        </w:rPr>
      </w:pPr>
      <w:r>
        <w:rPr>
          <w:rStyle w:val="Emphasis"/>
          <w:color w:val="000000"/>
          <w:sz w:val="22"/>
          <w:szCs w:val="22"/>
          <w:u w:val="single"/>
        </w:rPr>
        <w:t>Anxiety-related reactions</w:t>
      </w:r>
    </w:p>
    <w:p w14:paraId="4580DD18" w14:textId="77777777" w:rsidR="002B02D6" w:rsidRDefault="002B02D6">
      <w:pPr>
        <w:pStyle w:val="NormalWeb"/>
        <w:spacing w:before="0" w:beforeAutospacing="0" w:after="0" w:afterAutospacing="0"/>
        <w:divId w:val="795027828"/>
        <w:rPr>
          <w:sz w:val="22"/>
          <w:szCs w:val="22"/>
        </w:rPr>
      </w:pPr>
      <w:r>
        <w:rPr>
          <w:sz w:val="22"/>
          <w:szCs w:val="22"/>
        </w:rPr>
        <w:t> </w:t>
      </w:r>
    </w:p>
    <w:p w14:paraId="7BAEB81C" w14:textId="77777777" w:rsidR="002B02D6" w:rsidRDefault="002B02D6">
      <w:pPr>
        <w:pStyle w:val="NormalWeb"/>
        <w:spacing w:before="0" w:beforeAutospacing="0" w:after="0" w:afterAutospacing="0"/>
        <w:divId w:val="795027828"/>
        <w:rPr>
          <w:sz w:val="22"/>
          <w:szCs w:val="22"/>
        </w:rPr>
      </w:pPr>
      <w:r>
        <w:rPr>
          <w:color w:val="000000"/>
          <w:sz w:val="22"/>
          <w:szCs w:val="22"/>
        </w:rPr>
        <w:t>Anxiety-related reactions, including vasovagal reactions (syncope), hyperventilation, or stress‐related reactions may occur in association with vaccination as a psychogenic response to the needle injection. It is important that precautions are in place to avoid injury from fainting</w:t>
      </w:r>
      <w:r>
        <w:rPr>
          <w:sz w:val="22"/>
          <w:szCs w:val="22"/>
        </w:rPr>
        <w:t>.</w:t>
      </w:r>
    </w:p>
    <w:p w14:paraId="78D9F491" w14:textId="77777777" w:rsidR="002B02D6" w:rsidRDefault="002B02D6">
      <w:pPr>
        <w:pStyle w:val="NormalWeb"/>
        <w:spacing w:before="0" w:beforeAutospacing="0" w:after="0" w:afterAutospacing="0"/>
        <w:divId w:val="795027828"/>
        <w:rPr>
          <w:sz w:val="22"/>
          <w:szCs w:val="22"/>
        </w:rPr>
      </w:pPr>
      <w:r>
        <w:rPr>
          <w:sz w:val="22"/>
          <w:szCs w:val="22"/>
        </w:rPr>
        <w:t> </w:t>
      </w:r>
    </w:p>
    <w:p w14:paraId="5C885C2E" w14:textId="77777777" w:rsidR="002B02D6" w:rsidRDefault="002B02D6">
      <w:pPr>
        <w:pStyle w:val="NormalWeb"/>
        <w:spacing w:before="0" w:beforeAutospacing="0" w:after="0" w:afterAutospacing="0"/>
        <w:divId w:val="795027828"/>
        <w:rPr>
          <w:sz w:val="22"/>
          <w:szCs w:val="22"/>
        </w:rPr>
      </w:pPr>
      <w:r>
        <w:rPr>
          <w:rStyle w:val="Emphasis"/>
          <w:color w:val="000000"/>
          <w:sz w:val="22"/>
          <w:szCs w:val="22"/>
          <w:u w:val="single"/>
        </w:rPr>
        <w:t>Concurrent illness</w:t>
      </w:r>
    </w:p>
    <w:p w14:paraId="76453423" w14:textId="77777777" w:rsidR="002B02D6" w:rsidRDefault="002B02D6">
      <w:pPr>
        <w:pStyle w:val="NormalWeb"/>
        <w:spacing w:before="0" w:beforeAutospacing="0" w:after="0" w:afterAutospacing="0"/>
        <w:divId w:val="795027828"/>
        <w:rPr>
          <w:sz w:val="22"/>
          <w:szCs w:val="22"/>
        </w:rPr>
      </w:pPr>
      <w:r>
        <w:rPr>
          <w:sz w:val="22"/>
          <w:szCs w:val="22"/>
        </w:rPr>
        <w:t> </w:t>
      </w:r>
    </w:p>
    <w:p w14:paraId="57EE2457" w14:textId="77777777" w:rsidR="002B02D6" w:rsidRDefault="002B02D6">
      <w:pPr>
        <w:pStyle w:val="NormalWeb"/>
        <w:spacing w:before="0" w:beforeAutospacing="0" w:after="0" w:afterAutospacing="0"/>
        <w:divId w:val="795027828"/>
        <w:rPr>
          <w:sz w:val="22"/>
          <w:szCs w:val="22"/>
        </w:rPr>
      </w:pPr>
      <w:r>
        <w:rPr>
          <w:color w:val="000000"/>
          <w:sz w:val="22"/>
          <w:szCs w:val="22"/>
        </w:rPr>
        <w:t>Vaccination should be postponed in individuals suffering from an acute severe febrile illness or acute infection. The presence of a minor infection and/or low-grade fever should not delay vaccination.</w:t>
      </w:r>
    </w:p>
    <w:p w14:paraId="65F50095" w14:textId="77777777" w:rsidR="002B02D6" w:rsidRDefault="002B02D6">
      <w:pPr>
        <w:pStyle w:val="NormalWeb"/>
        <w:spacing w:before="0" w:beforeAutospacing="0" w:after="0" w:afterAutospacing="0"/>
        <w:divId w:val="795027828"/>
        <w:rPr>
          <w:sz w:val="22"/>
          <w:szCs w:val="22"/>
        </w:rPr>
      </w:pPr>
      <w:r>
        <w:rPr>
          <w:sz w:val="22"/>
          <w:szCs w:val="22"/>
        </w:rPr>
        <w:t> </w:t>
      </w:r>
    </w:p>
    <w:p w14:paraId="03245250" w14:textId="77777777" w:rsidR="002B02D6" w:rsidRDefault="002B02D6">
      <w:pPr>
        <w:pStyle w:val="NormalWeb"/>
        <w:spacing w:before="0" w:beforeAutospacing="0" w:after="0" w:afterAutospacing="0"/>
        <w:divId w:val="795027828"/>
        <w:rPr>
          <w:sz w:val="22"/>
          <w:szCs w:val="22"/>
        </w:rPr>
      </w:pPr>
      <w:r>
        <w:rPr>
          <w:rStyle w:val="Emphasis"/>
          <w:color w:val="000000"/>
          <w:sz w:val="22"/>
          <w:szCs w:val="22"/>
          <w:u w:val="single"/>
        </w:rPr>
        <w:t>Thrombocytopenia and coagulation disorders</w:t>
      </w:r>
    </w:p>
    <w:p w14:paraId="2376760B" w14:textId="77777777" w:rsidR="002B02D6" w:rsidRDefault="002B02D6">
      <w:pPr>
        <w:pStyle w:val="NormalWeb"/>
        <w:spacing w:before="0" w:beforeAutospacing="0" w:after="0" w:afterAutospacing="0"/>
        <w:divId w:val="795027828"/>
        <w:rPr>
          <w:sz w:val="22"/>
          <w:szCs w:val="22"/>
        </w:rPr>
      </w:pPr>
      <w:r>
        <w:rPr>
          <w:sz w:val="22"/>
          <w:szCs w:val="22"/>
        </w:rPr>
        <w:t> </w:t>
      </w:r>
    </w:p>
    <w:p w14:paraId="129B5992" w14:textId="77777777" w:rsidR="002B02D6" w:rsidRDefault="002B02D6">
      <w:pPr>
        <w:pStyle w:val="NormalWeb"/>
        <w:spacing w:before="0" w:beforeAutospacing="0" w:after="0" w:afterAutospacing="0"/>
        <w:divId w:val="795027828"/>
        <w:rPr>
          <w:sz w:val="22"/>
          <w:szCs w:val="22"/>
        </w:rPr>
      </w:pPr>
      <w:r>
        <w:rPr>
          <w:color w:val="000000"/>
          <w:sz w:val="22"/>
          <w:szCs w:val="22"/>
        </w:rPr>
        <w:t xml:space="preserve">As </w:t>
      </w:r>
      <w:r>
        <w:rPr>
          <w:sz w:val="22"/>
          <w:szCs w:val="22"/>
        </w:rPr>
        <w:t>with other intramuscular injections, the vaccine should be given with caution in individuals receiving anticoagulant therapy or those with thrombocytopenia or any coagulation disorder (such as haemophilia) because bleeding or bruising may occur following an intramuscular administration in these individuals.</w:t>
      </w:r>
    </w:p>
    <w:p w14:paraId="6CC7EAC9" w14:textId="77777777" w:rsidR="002B02D6" w:rsidRDefault="002B02D6">
      <w:pPr>
        <w:pStyle w:val="NormalWeb"/>
        <w:spacing w:before="0" w:beforeAutospacing="0" w:after="0" w:afterAutospacing="0"/>
        <w:divId w:val="795027828"/>
        <w:rPr>
          <w:sz w:val="22"/>
          <w:szCs w:val="22"/>
        </w:rPr>
      </w:pPr>
      <w:r>
        <w:rPr>
          <w:sz w:val="22"/>
          <w:szCs w:val="22"/>
        </w:rPr>
        <w:t> </w:t>
      </w:r>
    </w:p>
    <w:p w14:paraId="4C871C6D" w14:textId="77777777" w:rsidR="002B02D6" w:rsidRDefault="002B02D6">
      <w:pPr>
        <w:pStyle w:val="NormalWeb"/>
        <w:spacing w:before="0" w:beforeAutospacing="0" w:after="0" w:afterAutospacing="0"/>
        <w:divId w:val="795027828"/>
        <w:rPr>
          <w:sz w:val="22"/>
          <w:szCs w:val="22"/>
        </w:rPr>
      </w:pPr>
      <w:r>
        <w:rPr>
          <w:rStyle w:val="Emphasis"/>
          <w:sz w:val="22"/>
          <w:szCs w:val="22"/>
          <w:u w:val="single"/>
        </w:rPr>
        <w:t>Immunocompromised individuals</w:t>
      </w:r>
    </w:p>
    <w:p w14:paraId="765A61BA" w14:textId="77777777" w:rsidR="002B02D6" w:rsidRDefault="002B02D6">
      <w:pPr>
        <w:pStyle w:val="NormalWeb"/>
        <w:spacing w:before="0" w:beforeAutospacing="0" w:after="0" w:afterAutospacing="0"/>
        <w:divId w:val="795027828"/>
        <w:rPr>
          <w:sz w:val="22"/>
          <w:szCs w:val="22"/>
        </w:rPr>
      </w:pPr>
      <w:r>
        <w:rPr>
          <w:sz w:val="22"/>
          <w:szCs w:val="22"/>
        </w:rPr>
        <w:t> </w:t>
      </w:r>
    </w:p>
    <w:p w14:paraId="04641E80" w14:textId="77777777" w:rsidR="002B02D6" w:rsidRDefault="002B02D6">
      <w:pPr>
        <w:pStyle w:val="NormalWeb"/>
        <w:spacing w:before="0" w:beforeAutospacing="0" w:after="0" w:afterAutospacing="0"/>
        <w:divId w:val="795027828"/>
        <w:rPr>
          <w:sz w:val="22"/>
          <w:szCs w:val="22"/>
        </w:rPr>
      </w:pPr>
      <w:r>
        <w:rPr>
          <w:sz w:val="22"/>
          <w:szCs w:val="22"/>
        </w:rPr>
        <w:t>The efficacy, safety, and immunogenicity of the vaccine has been assessed in a limited number of immunocompromised individuals. The efficacy of Nuvaxovid may be lower in immunosuppressed individuals.</w:t>
      </w:r>
    </w:p>
    <w:p w14:paraId="0FF2C6A1" w14:textId="77777777" w:rsidR="002B02D6" w:rsidRDefault="002B02D6">
      <w:pPr>
        <w:pStyle w:val="NormalWeb"/>
        <w:spacing w:before="0" w:beforeAutospacing="0" w:after="0" w:afterAutospacing="0"/>
        <w:divId w:val="795027828"/>
        <w:rPr>
          <w:sz w:val="22"/>
          <w:szCs w:val="22"/>
        </w:rPr>
      </w:pPr>
      <w:r>
        <w:rPr>
          <w:sz w:val="22"/>
          <w:szCs w:val="22"/>
        </w:rPr>
        <w:t> </w:t>
      </w:r>
    </w:p>
    <w:p w14:paraId="6FBAD5D1" w14:textId="77777777" w:rsidR="002B02D6" w:rsidRDefault="002B02D6">
      <w:pPr>
        <w:pStyle w:val="NormalWeb"/>
        <w:spacing w:before="0" w:beforeAutospacing="0" w:after="0" w:afterAutospacing="0"/>
        <w:divId w:val="795027828"/>
        <w:rPr>
          <w:sz w:val="22"/>
          <w:szCs w:val="22"/>
        </w:rPr>
      </w:pPr>
      <w:r>
        <w:rPr>
          <w:rStyle w:val="Emphasis"/>
          <w:sz w:val="22"/>
          <w:szCs w:val="22"/>
          <w:u w:val="single"/>
        </w:rPr>
        <w:t>Duration of protection</w:t>
      </w:r>
    </w:p>
    <w:p w14:paraId="6DA9B021" w14:textId="77777777" w:rsidR="002B02D6" w:rsidRDefault="002B02D6">
      <w:pPr>
        <w:pStyle w:val="NormalWeb"/>
        <w:spacing w:before="0" w:beforeAutospacing="0" w:after="0" w:afterAutospacing="0"/>
        <w:divId w:val="795027828"/>
        <w:rPr>
          <w:sz w:val="22"/>
          <w:szCs w:val="22"/>
        </w:rPr>
      </w:pPr>
      <w:r>
        <w:rPr>
          <w:sz w:val="22"/>
          <w:szCs w:val="22"/>
        </w:rPr>
        <w:t> </w:t>
      </w:r>
    </w:p>
    <w:p w14:paraId="21D6CFE9" w14:textId="77777777" w:rsidR="002B02D6" w:rsidRDefault="002B02D6">
      <w:pPr>
        <w:pStyle w:val="NormalWeb"/>
        <w:spacing w:before="0" w:beforeAutospacing="0" w:after="0" w:afterAutospacing="0"/>
        <w:divId w:val="795027828"/>
        <w:rPr>
          <w:sz w:val="22"/>
          <w:szCs w:val="22"/>
        </w:rPr>
      </w:pPr>
      <w:r>
        <w:rPr>
          <w:sz w:val="22"/>
          <w:szCs w:val="22"/>
        </w:rPr>
        <w:t>The duration of protection afforded by the vaccine is unknown as it is still being determined by ongoing clinical trials.</w:t>
      </w:r>
    </w:p>
    <w:p w14:paraId="48F2E31A" w14:textId="77777777" w:rsidR="002B02D6" w:rsidRDefault="002B02D6">
      <w:pPr>
        <w:pStyle w:val="NormalWeb"/>
        <w:spacing w:before="0" w:beforeAutospacing="0" w:after="0" w:afterAutospacing="0"/>
        <w:divId w:val="795027828"/>
        <w:rPr>
          <w:sz w:val="22"/>
          <w:szCs w:val="22"/>
        </w:rPr>
      </w:pPr>
      <w:r>
        <w:rPr>
          <w:sz w:val="22"/>
          <w:szCs w:val="22"/>
        </w:rPr>
        <w:t> </w:t>
      </w:r>
    </w:p>
    <w:p w14:paraId="28FF44E6" w14:textId="77777777" w:rsidR="002B02D6" w:rsidRDefault="002B02D6">
      <w:pPr>
        <w:pStyle w:val="NormalWeb"/>
        <w:spacing w:before="0" w:beforeAutospacing="0" w:after="0" w:afterAutospacing="0" w:line="260" w:lineRule="atLeast"/>
        <w:divId w:val="795027828"/>
        <w:rPr>
          <w:sz w:val="22"/>
          <w:szCs w:val="22"/>
        </w:rPr>
      </w:pPr>
      <w:r>
        <w:rPr>
          <w:rStyle w:val="Emphasis"/>
          <w:sz w:val="22"/>
          <w:szCs w:val="22"/>
          <w:u w:val="single"/>
        </w:rPr>
        <w:t>Limitations of vaccine effectiveness</w:t>
      </w:r>
    </w:p>
    <w:p w14:paraId="6402E6F9" w14:textId="77777777" w:rsidR="002B02D6" w:rsidRDefault="002B02D6">
      <w:pPr>
        <w:pStyle w:val="NormalWeb"/>
        <w:spacing w:before="0" w:beforeAutospacing="0" w:after="0" w:afterAutospacing="0" w:line="260" w:lineRule="atLeast"/>
        <w:divId w:val="795027828"/>
        <w:rPr>
          <w:sz w:val="22"/>
          <w:szCs w:val="22"/>
        </w:rPr>
      </w:pPr>
      <w:r>
        <w:rPr>
          <w:sz w:val="22"/>
          <w:szCs w:val="22"/>
        </w:rPr>
        <w:t> </w:t>
      </w:r>
    </w:p>
    <w:p w14:paraId="5E63B9DE" w14:textId="77777777" w:rsidR="002B02D6" w:rsidRDefault="002B02D6">
      <w:pPr>
        <w:pStyle w:val="NormalWeb"/>
        <w:spacing w:before="0" w:beforeAutospacing="0" w:after="0" w:afterAutospacing="0" w:line="260" w:lineRule="atLeast"/>
        <w:divId w:val="795027828"/>
        <w:rPr>
          <w:sz w:val="22"/>
          <w:szCs w:val="22"/>
        </w:rPr>
      </w:pPr>
      <w:r>
        <w:rPr>
          <w:sz w:val="22"/>
          <w:szCs w:val="22"/>
        </w:rPr>
        <w:t>Individuals may not be fully protected until 7 </w:t>
      </w:r>
      <w:r>
        <w:rPr>
          <w:sz w:val="22"/>
          <w:szCs w:val="22"/>
        </w:rPr>
        <w:t>days after their second dose. As with all vaccines, vaccination with Nuvaxovid may not protect all vaccine recipients.</w:t>
      </w:r>
    </w:p>
    <w:p w14:paraId="32DE6A91" w14:textId="77777777" w:rsidR="002B02D6" w:rsidRDefault="002B02D6">
      <w:pPr>
        <w:pStyle w:val="NormalWeb"/>
        <w:spacing w:before="0" w:beforeAutospacing="0" w:after="0" w:afterAutospacing="0" w:line="260" w:lineRule="atLeast"/>
        <w:divId w:val="795027828"/>
        <w:rPr>
          <w:sz w:val="22"/>
          <w:szCs w:val="22"/>
        </w:rPr>
      </w:pPr>
      <w:r>
        <w:rPr>
          <w:sz w:val="22"/>
          <w:szCs w:val="22"/>
        </w:rPr>
        <w:t> </w:t>
      </w:r>
    </w:p>
    <w:p w14:paraId="19AB0C41" w14:textId="77777777" w:rsidR="002B02D6" w:rsidRDefault="002B02D6">
      <w:pPr>
        <w:pStyle w:val="NormalWeb"/>
        <w:spacing w:before="0" w:beforeAutospacing="0" w:after="0" w:afterAutospacing="0" w:line="260" w:lineRule="atLeast"/>
        <w:divId w:val="795027828"/>
        <w:rPr>
          <w:sz w:val="22"/>
          <w:szCs w:val="22"/>
        </w:rPr>
      </w:pPr>
      <w:r>
        <w:rPr>
          <w:color w:val="000000"/>
          <w:sz w:val="22"/>
          <w:szCs w:val="22"/>
          <w:u w:val="single"/>
        </w:rPr>
        <w:t>Excipients</w:t>
      </w:r>
    </w:p>
    <w:p w14:paraId="5201C958" w14:textId="77777777" w:rsidR="002B02D6" w:rsidRDefault="002B02D6">
      <w:pPr>
        <w:pStyle w:val="NormalWeb"/>
        <w:spacing w:before="0" w:beforeAutospacing="0" w:after="0" w:afterAutospacing="0" w:line="260" w:lineRule="atLeast"/>
        <w:divId w:val="795027828"/>
        <w:rPr>
          <w:sz w:val="22"/>
          <w:szCs w:val="22"/>
        </w:rPr>
      </w:pPr>
      <w:r>
        <w:rPr>
          <w:sz w:val="22"/>
          <w:szCs w:val="22"/>
        </w:rPr>
        <w:t> </w:t>
      </w:r>
    </w:p>
    <w:p w14:paraId="2996037F" w14:textId="77777777" w:rsidR="002B02D6" w:rsidRDefault="002B02D6">
      <w:pPr>
        <w:pStyle w:val="NormalWeb"/>
        <w:spacing w:before="0" w:beforeAutospacing="0" w:after="0" w:afterAutospacing="0" w:line="260" w:lineRule="atLeast"/>
        <w:divId w:val="795027828"/>
        <w:rPr>
          <w:sz w:val="22"/>
          <w:szCs w:val="22"/>
        </w:rPr>
      </w:pPr>
      <w:r>
        <w:rPr>
          <w:rStyle w:val="Emphasis"/>
          <w:color w:val="000000"/>
          <w:sz w:val="22"/>
          <w:szCs w:val="22"/>
        </w:rPr>
        <w:t>Sodium</w:t>
      </w:r>
    </w:p>
    <w:p w14:paraId="7B10E065" w14:textId="77777777" w:rsidR="002B02D6" w:rsidRDefault="002B02D6">
      <w:pPr>
        <w:pStyle w:val="NormalWeb"/>
        <w:spacing w:before="0" w:beforeAutospacing="0" w:after="0" w:afterAutospacing="0" w:line="260" w:lineRule="atLeast"/>
        <w:divId w:val="795027828"/>
        <w:rPr>
          <w:sz w:val="22"/>
          <w:szCs w:val="22"/>
        </w:rPr>
      </w:pPr>
      <w:r>
        <w:rPr>
          <w:sz w:val="22"/>
          <w:szCs w:val="22"/>
        </w:rPr>
        <w:t>This vaccine contains less than 1 mmol sodium (23 mg) per dose, that is to say essentially ‘sodium-free’.</w:t>
      </w:r>
    </w:p>
    <w:p w14:paraId="517D8AE9" w14:textId="77777777" w:rsidR="002B02D6" w:rsidRDefault="002B02D6">
      <w:pPr>
        <w:pStyle w:val="NormalWeb"/>
        <w:spacing w:before="0" w:beforeAutospacing="0" w:after="0" w:afterAutospacing="0" w:line="260" w:lineRule="atLeast"/>
        <w:divId w:val="795027828"/>
        <w:rPr>
          <w:sz w:val="22"/>
          <w:szCs w:val="22"/>
        </w:rPr>
      </w:pPr>
      <w:r>
        <w:rPr>
          <w:sz w:val="22"/>
          <w:szCs w:val="22"/>
        </w:rPr>
        <w:t> </w:t>
      </w:r>
    </w:p>
    <w:p w14:paraId="5846EF06" w14:textId="77777777" w:rsidR="002B02D6" w:rsidRDefault="002B02D6">
      <w:pPr>
        <w:pStyle w:val="NormalWeb"/>
        <w:spacing w:before="0" w:beforeAutospacing="0" w:after="0" w:afterAutospacing="0" w:line="260" w:lineRule="atLeast"/>
        <w:divId w:val="795027828"/>
        <w:rPr>
          <w:sz w:val="22"/>
          <w:szCs w:val="22"/>
        </w:rPr>
      </w:pPr>
      <w:r>
        <w:rPr>
          <w:rStyle w:val="Emphasis"/>
          <w:color w:val="000000"/>
          <w:sz w:val="22"/>
          <w:szCs w:val="22"/>
        </w:rPr>
        <w:t>Potassium</w:t>
      </w:r>
    </w:p>
    <w:p w14:paraId="344CA5FA" w14:textId="77777777" w:rsidR="002B02D6" w:rsidRDefault="002B02D6">
      <w:pPr>
        <w:pStyle w:val="NormalWeb"/>
        <w:spacing w:before="0" w:beforeAutospacing="0" w:after="0" w:afterAutospacing="0" w:line="260" w:lineRule="atLeast"/>
        <w:divId w:val="795027828"/>
        <w:rPr>
          <w:sz w:val="22"/>
          <w:szCs w:val="22"/>
        </w:rPr>
      </w:pPr>
      <w:r>
        <w:rPr>
          <w:color w:val="000000"/>
          <w:sz w:val="22"/>
          <w:szCs w:val="22"/>
        </w:rPr>
        <w:t xml:space="preserve">This vaccine contains </w:t>
      </w:r>
      <w:r>
        <w:rPr>
          <w:sz w:val="22"/>
          <w:szCs w:val="22"/>
        </w:rPr>
        <w:t>potassium, less than 1 mmol (39 mg) per dose, that is to say, essentially ‘potassium-free’.</w:t>
      </w:r>
    </w:p>
    <w:p w14:paraId="7B8837C4" w14:textId="77777777" w:rsidR="002B02D6" w:rsidRDefault="002B02D6">
      <w:pPr>
        <w:pStyle w:val="NormalWeb"/>
        <w:spacing w:before="0" w:beforeAutospacing="0" w:after="0" w:afterAutospacing="0" w:line="260" w:lineRule="atLeast"/>
        <w:divId w:val="795027828"/>
        <w:rPr>
          <w:sz w:val="22"/>
          <w:szCs w:val="22"/>
        </w:rPr>
      </w:pPr>
      <w:r>
        <w:rPr>
          <w:sz w:val="22"/>
          <w:szCs w:val="22"/>
        </w:rPr>
        <w:t> </w:t>
      </w:r>
    </w:p>
    <w:p w14:paraId="33D05323" w14:textId="77777777" w:rsidR="002B02D6" w:rsidRDefault="002B02D6">
      <w:pPr>
        <w:pStyle w:val="NormalWeb"/>
      </w:pPr>
      <w:r>
        <w:t>4.5 Interaction with other medicinal products and other forms of interaction</w:t>
      </w:r>
    </w:p>
    <w:p w14:paraId="5A1245FF" w14:textId="77777777" w:rsidR="002B02D6" w:rsidRDefault="002B02D6">
      <w:pPr>
        <w:pStyle w:val="NormalWeb"/>
        <w:divId w:val="1541210184"/>
      </w:pPr>
      <w:r>
        <w:t> </w:t>
      </w:r>
    </w:p>
    <w:p w14:paraId="0A143124" w14:textId="77777777" w:rsidR="002B02D6" w:rsidRDefault="002B02D6">
      <w:pPr>
        <w:pStyle w:val="NormalWeb"/>
        <w:spacing w:before="0" w:beforeAutospacing="0" w:after="0" w:afterAutospacing="0" w:line="260" w:lineRule="atLeast"/>
        <w:divId w:val="1541210184"/>
        <w:rPr>
          <w:sz w:val="22"/>
          <w:szCs w:val="22"/>
        </w:rPr>
      </w:pPr>
      <w:r>
        <w:rPr>
          <w:sz w:val="22"/>
          <w:szCs w:val="22"/>
        </w:rPr>
        <w:t>Co-administration of Nuvaxovid with inactivated influenza vaccines has been evaluated in a limited number of participants in an exploratory clinical trial sub-study, see section 4.8 and section 5.1.</w:t>
      </w:r>
    </w:p>
    <w:p w14:paraId="43ADDBF7" w14:textId="77777777" w:rsidR="002B02D6" w:rsidRDefault="002B02D6">
      <w:pPr>
        <w:pStyle w:val="NormalWeb"/>
        <w:spacing w:before="0" w:beforeAutospacing="0" w:after="0" w:afterAutospacing="0" w:line="260" w:lineRule="atLeast"/>
        <w:divId w:val="1541210184"/>
        <w:rPr>
          <w:sz w:val="22"/>
          <w:szCs w:val="22"/>
        </w:rPr>
      </w:pPr>
      <w:r>
        <w:rPr>
          <w:sz w:val="22"/>
          <w:szCs w:val="22"/>
        </w:rPr>
        <w:t> </w:t>
      </w:r>
    </w:p>
    <w:p w14:paraId="7FDC5ACF" w14:textId="77777777" w:rsidR="002B02D6" w:rsidRDefault="002B02D6">
      <w:pPr>
        <w:pStyle w:val="NormalWeb"/>
        <w:spacing w:before="0" w:beforeAutospacing="0" w:after="0" w:afterAutospacing="0" w:line="260" w:lineRule="atLeast"/>
        <w:divId w:val="1541210184"/>
        <w:rPr>
          <w:sz w:val="22"/>
          <w:szCs w:val="22"/>
        </w:rPr>
      </w:pPr>
      <w:r>
        <w:rPr>
          <w:sz w:val="22"/>
          <w:szCs w:val="22"/>
        </w:rPr>
        <w:t>The binding antibody response to SARS-CoV-2 was lower when Nuvaxovid was given concomitantly with inactivated influenza vaccine. The clinical significance of this is unknown.</w:t>
      </w:r>
    </w:p>
    <w:p w14:paraId="4394AD5C" w14:textId="77777777" w:rsidR="002B02D6" w:rsidRDefault="002B02D6">
      <w:pPr>
        <w:pStyle w:val="NormalWeb"/>
        <w:spacing w:before="0" w:beforeAutospacing="0" w:after="0" w:afterAutospacing="0" w:line="260" w:lineRule="atLeast"/>
        <w:divId w:val="1541210184"/>
        <w:rPr>
          <w:sz w:val="22"/>
          <w:szCs w:val="22"/>
        </w:rPr>
      </w:pPr>
      <w:r>
        <w:rPr>
          <w:sz w:val="22"/>
          <w:szCs w:val="22"/>
        </w:rPr>
        <w:t> </w:t>
      </w:r>
    </w:p>
    <w:p w14:paraId="39CB8D7F" w14:textId="77777777" w:rsidR="002B02D6" w:rsidRDefault="002B02D6">
      <w:pPr>
        <w:pStyle w:val="NormalWeb"/>
        <w:spacing w:before="0" w:beforeAutospacing="0" w:after="0" w:afterAutospacing="0" w:line="260" w:lineRule="atLeast"/>
        <w:divId w:val="1541210184"/>
        <w:rPr>
          <w:sz w:val="22"/>
          <w:szCs w:val="22"/>
        </w:rPr>
      </w:pPr>
      <w:r>
        <w:rPr>
          <w:sz w:val="22"/>
          <w:szCs w:val="22"/>
        </w:rPr>
        <w:t>Concomitant administration of Nuvaxovid with other vaccines has not been studied.</w:t>
      </w:r>
    </w:p>
    <w:p w14:paraId="51000A44" w14:textId="77777777" w:rsidR="002B02D6" w:rsidRDefault="002B02D6">
      <w:pPr>
        <w:pStyle w:val="NormalWeb"/>
        <w:spacing w:before="0" w:beforeAutospacing="0" w:after="0" w:afterAutospacing="0" w:line="260" w:lineRule="atLeast"/>
        <w:divId w:val="1541210184"/>
        <w:rPr>
          <w:sz w:val="22"/>
          <w:szCs w:val="22"/>
        </w:rPr>
      </w:pPr>
      <w:r>
        <w:rPr>
          <w:sz w:val="22"/>
          <w:szCs w:val="22"/>
        </w:rPr>
        <w:t> </w:t>
      </w:r>
    </w:p>
    <w:p w14:paraId="0996B756" w14:textId="77777777" w:rsidR="002B02D6" w:rsidRDefault="002B02D6">
      <w:pPr>
        <w:pStyle w:val="NormalWeb"/>
      </w:pPr>
      <w:r>
        <w:t>4.6 Fertility, pregnancy and lactation</w:t>
      </w:r>
    </w:p>
    <w:p w14:paraId="76040F8B" w14:textId="77777777" w:rsidR="002B02D6" w:rsidRDefault="002B02D6">
      <w:pPr>
        <w:pStyle w:val="NormalWeb"/>
        <w:divId w:val="1268853949"/>
      </w:pPr>
      <w:r>
        <w:t> </w:t>
      </w:r>
    </w:p>
    <w:p w14:paraId="14D53545" w14:textId="77777777" w:rsidR="002B02D6" w:rsidRDefault="002B02D6">
      <w:pPr>
        <w:pStyle w:val="NormalWeb"/>
        <w:spacing w:before="0" w:beforeAutospacing="0" w:after="0" w:afterAutospacing="0"/>
        <w:divId w:val="1268853949"/>
        <w:rPr>
          <w:sz w:val="22"/>
          <w:szCs w:val="22"/>
        </w:rPr>
      </w:pPr>
      <w:r>
        <w:rPr>
          <w:sz w:val="22"/>
          <w:szCs w:val="22"/>
          <w:u w:val="single"/>
        </w:rPr>
        <w:t>Pregnancy</w:t>
      </w:r>
    </w:p>
    <w:p w14:paraId="52694F96" w14:textId="77777777" w:rsidR="002B02D6" w:rsidRDefault="002B02D6">
      <w:pPr>
        <w:pStyle w:val="NormalWeb"/>
        <w:spacing w:before="0" w:beforeAutospacing="0" w:after="0" w:afterAutospacing="0"/>
        <w:divId w:val="1268853949"/>
        <w:rPr>
          <w:sz w:val="22"/>
          <w:szCs w:val="22"/>
        </w:rPr>
      </w:pPr>
      <w:r>
        <w:rPr>
          <w:sz w:val="22"/>
          <w:szCs w:val="22"/>
        </w:rPr>
        <w:t> </w:t>
      </w:r>
    </w:p>
    <w:p w14:paraId="2D1F1E30" w14:textId="77777777" w:rsidR="002B02D6" w:rsidRDefault="002B02D6">
      <w:pPr>
        <w:pStyle w:val="NormalWeb"/>
        <w:spacing w:before="0" w:beforeAutospacing="0" w:after="0" w:afterAutospacing="0"/>
        <w:divId w:val="1268853949"/>
        <w:rPr>
          <w:sz w:val="22"/>
          <w:szCs w:val="22"/>
        </w:rPr>
      </w:pPr>
      <w:r>
        <w:rPr>
          <w:sz w:val="22"/>
          <w:szCs w:val="22"/>
        </w:rPr>
        <w:t>There is limited experience with use of Nuvaxovid in pregnant women. Animal studies do not indicate direct or indirect harmful effects with respect to pregnancy, embryo/foetal development, parturition, or post-natal development, see section 5.3.</w:t>
      </w:r>
    </w:p>
    <w:p w14:paraId="1DD5D21C" w14:textId="77777777" w:rsidR="002B02D6" w:rsidRDefault="002B02D6">
      <w:pPr>
        <w:pStyle w:val="NormalWeb"/>
        <w:spacing w:before="0" w:beforeAutospacing="0" w:after="0" w:afterAutospacing="0"/>
        <w:divId w:val="1268853949"/>
        <w:rPr>
          <w:sz w:val="22"/>
          <w:szCs w:val="22"/>
        </w:rPr>
      </w:pPr>
      <w:r>
        <w:rPr>
          <w:sz w:val="22"/>
          <w:szCs w:val="22"/>
        </w:rPr>
        <w:t> </w:t>
      </w:r>
    </w:p>
    <w:p w14:paraId="2EEA3844" w14:textId="77777777" w:rsidR="002B02D6" w:rsidRDefault="002B02D6">
      <w:pPr>
        <w:pStyle w:val="NormalWeb"/>
        <w:spacing w:before="0" w:beforeAutospacing="0" w:after="0" w:afterAutospacing="0"/>
        <w:divId w:val="1268853949"/>
        <w:rPr>
          <w:sz w:val="22"/>
          <w:szCs w:val="22"/>
        </w:rPr>
      </w:pPr>
      <w:r>
        <w:rPr>
          <w:sz w:val="22"/>
          <w:szCs w:val="22"/>
        </w:rPr>
        <w:t>Administration of Nuvaxovid in pregnancy should only be considered when the potential benefits outweigh any potential risks for the mother and foetus.</w:t>
      </w:r>
    </w:p>
    <w:p w14:paraId="6A7D561A" w14:textId="77777777" w:rsidR="002B02D6" w:rsidRDefault="002B02D6">
      <w:pPr>
        <w:pStyle w:val="NormalWeb"/>
        <w:spacing w:before="0" w:beforeAutospacing="0" w:after="0" w:afterAutospacing="0"/>
        <w:divId w:val="1268853949"/>
        <w:rPr>
          <w:sz w:val="22"/>
          <w:szCs w:val="22"/>
        </w:rPr>
      </w:pPr>
      <w:r>
        <w:rPr>
          <w:sz w:val="22"/>
          <w:szCs w:val="22"/>
        </w:rPr>
        <w:t> </w:t>
      </w:r>
    </w:p>
    <w:p w14:paraId="655D15A2" w14:textId="77777777" w:rsidR="002B02D6" w:rsidRDefault="002B02D6">
      <w:pPr>
        <w:pStyle w:val="NormalWeb"/>
        <w:spacing w:before="0" w:beforeAutospacing="0" w:after="0" w:afterAutospacing="0"/>
        <w:divId w:val="1268853949"/>
        <w:rPr>
          <w:sz w:val="22"/>
          <w:szCs w:val="22"/>
        </w:rPr>
      </w:pPr>
      <w:r>
        <w:rPr>
          <w:sz w:val="22"/>
          <w:szCs w:val="22"/>
          <w:u w:val="single"/>
        </w:rPr>
        <w:t>Breast-feeding</w:t>
      </w:r>
    </w:p>
    <w:p w14:paraId="3F13E129" w14:textId="77777777" w:rsidR="002B02D6" w:rsidRDefault="002B02D6">
      <w:pPr>
        <w:pStyle w:val="NormalWeb"/>
        <w:spacing w:before="0" w:beforeAutospacing="0" w:after="0" w:afterAutospacing="0"/>
        <w:divId w:val="1268853949"/>
        <w:rPr>
          <w:sz w:val="22"/>
          <w:szCs w:val="22"/>
        </w:rPr>
      </w:pPr>
      <w:r>
        <w:rPr>
          <w:sz w:val="22"/>
          <w:szCs w:val="22"/>
        </w:rPr>
        <w:t> </w:t>
      </w:r>
    </w:p>
    <w:p w14:paraId="78B1BEA7" w14:textId="77777777" w:rsidR="002B02D6" w:rsidRDefault="002B02D6">
      <w:pPr>
        <w:pStyle w:val="NormalWeb"/>
        <w:spacing w:before="0" w:beforeAutospacing="0" w:after="0" w:afterAutospacing="0"/>
        <w:divId w:val="1268853949"/>
        <w:rPr>
          <w:sz w:val="22"/>
          <w:szCs w:val="22"/>
        </w:rPr>
      </w:pPr>
      <w:r>
        <w:rPr>
          <w:sz w:val="22"/>
          <w:szCs w:val="22"/>
        </w:rPr>
        <w:t>It is unknown whether Nuvaxovid is excreted in human milk.</w:t>
      </w:r>
    </w:p>
    <w:p w14:paraId="55EC07ED" w14:textId="77777777" w:rsidR="002B02D6" w:rsidRDefault="002B02D6">
      <w:pPr>
        <w:pStyle w:val="NormalWeb"/>
        <w:spacing w:before="0" w:beforeAutospacing="0" w:after="0" w:afterAutospacing="0"/>
        <w:divId w:val="1268853949"/>
        <w:rPr>
          <w:sz w:val="22"/>
          <w:szCs w:val="22"/>
        </w:rPr>
      </w:pPr>
      <w:r>
        <w:rPr>
          <w:sz w:val="22"/>
          <w:szCs w:val="22"/>
        </w:rPr>
        <w:t> </w:t>
      </w:r>
    </w:p>
    <w:p w14:paraId="5AF8E14B" w14:textId="77777777" w:rsidR="002B02D6" w:rsidRDefault="002B02D6">
      <w:pPr>
        <w:pStyle w:val="NormalWeb"/>
        <w:spacing w:before="0" w:beforeAutospacing="0" w:after="0" w:afterAutospacing="0"/>
        <w:divId w:val="1268853949"/>
        <w:rPr>
          <w:sz w:val="22"/>
          <w:szCs w:val="22"/>
        </w:rPr>
      </w:pPr>
      <w:r>
        <w:rPr>
          <w:sz w:val="22"/>
          <w:szCs w:val="22"/>
        </w:rPr>
        <w:t>No effects on the breast-fed newborn/infant are anticipated since the systemic exposure of the breast-feeding woman to Nuvaxovid is negligible.</w:t>
      </w:r>
    </w:p>
    <w:p w14:paraId="18E7DE0E" w14:textId="77777777" w:rsidR="002B02D6" w:rsidRDefault="002B02D6">
      <w:pPr>
        <w:pStyle w:val="NormalWeb"/>
        <w:spacing w:before="0" w:beforeAutospacing="0" w:after="0" w:afterAutospacing="0"/>
        <w:divId w:val="1268853949"/>
        <w:rPr>
          <w:sz w:val="22"/>
          <w:szCs w:val="22"/>
        </w:rPr>
      </w:pPr>
      <w:r>
        <w:rPr>
          <w:sz w:val="22"/>
          <w:szCs w:val="22"/>
        </w:rPr>
        <w:t> </w:t>
      </w:r>
    </w:p>
    <w:p w14:paraId="123E7078" w14:textId="77777777" w:rsidR="002B02D6" w:rsidRDefault="002B02D6">
      <w:pPr>
        <w:pStyle w:val="NormalWeb"/>
        <w:spacing w:before="0" w:beforeAutospacing="0" w:after="0" w:afterAutospacing="0"/>
        <w:divId w:val="1268853949"/>
        <w:rPr>
          <w:sz w:val="22"/>
          <w:szCs w:val="22"/>
        </w:rPr>
      </w:pPr>
      <w:r>
        <w:rPr>
          <w:sz w:val="22"/>
          <w:szCs w:val="22"/>
          <w:u w:val="single"/>
        </w:rPr>
        <w:t>Fertility</w:t>
      </w:r>
    </w:p>
    <w:p w14:paraId="006D539C" w14:textId="77777777" w:rsidR="002B02D6" w:rsidRDefault="002B02D6">
      <w:pPr>
        <w:pStyle w:val="NormalWeb"/>
        <w:spacing w:before="0" w:beforeAutospacing="0" w:after="0" w:afterAutospacing="0"/>
        <w:divId w:val="1268853949"/>
        <w:rPr>
          <w:sz w:val="22"/>
          <w:szCs w:val="22"/>
        </w:rPr>
      </w:pPr>
      <w:r>
        <w:rPr>
          <w:sz w:val="22"/>
          <w:szCs w:val="22"/>
        </w:rPr>
        <w:t> </w:t>
      </w:r>
    </w:p>
    <w:p w14:paraId="7D2D3AFF" w14:textId="77777777" w:rsidR="002B02D6" w:rsidRDefault="002B02D6">
      <w:pPr>
        <w:pStyle w:val="NormalWeb"/>
        <w:spacing w:before="0" w:beforeAutospacing="0" w:after="0" w:afterAutospacing="0"/>
        <w:divId w:val="1268853949"/>
        <w:rPr>
          <w:sz w:val="22"/>
          <w:szCs w:val="22"/>
        </w:rPr>
      </w:pPr>
      <w:r>
        <w:rPr>
          <w:color w:val="000000"/>
          <w:sz w:val="22"/>
          <w:szCs w:val="22"/>
        </w:rPr>
        <w:t xml:space="preserve">Animal </w:t>
      </w:r>
      <w:r>
        <w:rPr>
          <w:sz w:val="22"/>
          <w:szCs w:val="22"/>
        </w:rPr>
        <w:t>studies do not indicate direct or indirect harmful effects with respect to reproductive toxicity, see section 5.3.</w:t>
      </w:r>
    </w:p>
    <w:p w14:paraId="4B3D32BC" w14:textId="77777777" w:rsidR="002B02D6" w:rsidRDefault="002B02D6">
      <w:pPr>
        <w:pStyle w:val="NormalWeb"/>
        <w:spacing w:before="0" w:beforeAutospacing="0" w:after="0" w:afterAutospacing="0"/>
        <w:divId w:val="1268853949"/>
        <w:rPr>
          <w:sz w:val="22"/>
          <w:szCs w:val="22"/>
        </w:rPr>
      </w:pPr>
      <w:r>
        <w:rPr>
          <w:sz w:val="22"/>
          <w:szCs w:val="22"/>
        </w:rPr>
        <w:t> </w:t>
      </w:r>
    </w:p>
    <w:p w14:paraId="05D04379" w14:textId="77777777" w:rsidR="002B02D6" w:rsidRDefault="002B02D6">
      <w:pPr>
        <w:pStyle w:val="NormalWeb"/>
      </w:pPr>
      <w:r>
        <w:t>4.7 Effects on ability to drive and use machines</w:t>
      </w:r>
    </w:p>
    <w:p w14:paraId="21B91F06" w14:textId="77777777" w:rsidR="002B02D6" w:rsidRDefault="002B02D6">
      <w:pPr>
        <w:pStyle w:val="NormalWeb"/>
        <w:divId w:val="1803503644"/>
      </w:pPr>
      <w:r>
        <w:t> </w:t>
      </w:r>
    </w:p>
    <w:p w14:paraId="55E7E725" w14:textId="77777777" w:rsidR="002B02D6" w:rsidRDefault="002B02D6">
      <w:pPr>
        <w:pStyle w:val="NormalWeb"/>
        <w:spacing w:before="0" w:beforeAutospacing="0" w:after="0" w:afterAutospacing="0"/>
        <w:divId w:val="1803503644"/>
        <w:rPr>
          <w:sz w:val="22"/>
          <w:szCs w:val="22"/>
        </w:rPr>
      </w:pPr>
      <w:r>
        <w:rPr>
          <w:sz w:val="22"/>
          <w:szCs w:val="22"/>
        </w:rPr>
        <w:t>Nuvaxovid has no or negligible influence on the ability to drive and use machines. However, some of the effects mentioned under section 4.8 may temporarily affect the ability to drive or use machines.</w:t>
      </w:r>
    </w:p>
    <w:p w14:paraId="3C9B5899" w14:textId="77777777" w:rsidR="002B02D6" w:rsidRDefault="002B02D6">
      <w:pPr>
        <w:pStyle w:val="NormalWeb"/>
        <w:spacing w:before="0" w:beforeAutospacing="0" w:after="0" w:afterAutospacing="0"/>
        <w:divId w:val="1803503644"/>
        <w:rPr>
          <w:sz w:val="22"/>
          <w:szCs w:val="22"/>
        </w:rPr>
      </w:pPr>
      <w:r>
        <w:rPr>
          <w:sz w:val="22"/>
          <w:szCs w:val="22"/>
        </w:rPr>
        <w:t> </w:t>
      </w:r>
    </w:p>
    <w:p w14:paraId="2EA2BD79" w14:textId="77777777" w:rsidR="002B02D6" w:rsidRDefault="002B02D6">
      <w:pPr>
        <w:pStyle w:val="NormalWeb"/>
      </w:pPr>
      <w:r>
        <w:t>4.8 Undesirable effects</w:t>
      </w:r>
    </w:p>
    <w:p w14:paraId="344BA745" w14:textId="77777777" w:rsidR="002B02D6" w:rsidRDefault="002B02D6">
      <w:pPr>
        <w:pStyle w:val="NormalWeb"/>
        <w:divId w:val="1404909579"/>
      </w:pPr>
      <w:r>
        <w:t> </w:t>
      </w:r>
    </w:p>
    <w:p w14:paraId="555CD383" w14:textId="77777777" w:rsidR="002B02D6" w:rsidRDefault="002B02D6">
      <w:pPr>
        <w:pStyle w:val="NormalWeb"/>
        <w:spacing w:before="0" w:beforeAutospacing="0" w:after="0" w:afterAutospacing="0"/>
        <w:divId w:val="1404909579"/>
        <w:rPr>
          <w:sz w:val="22"/>
          <w:szCs w:val="22"/>
        </w:rPr>
      </w:pPr>
      <w:r>
        <w:rPr>
          <w:sz w:val="22"/>
          <w:szCs w:val="22"/>
          <w:u w:val="single"/>
        </w:rPr>
        <w:t>Summary of the safety profile after primary series</w:t>
      </w:r>
    </w:p>
    <w:p w14:paraId="652B3370" w14:textId="77777777" w:rsidR="002B02D6" w:rsidRDefault="002B02D6">
      <w:pPr>
        <w:pStyle w:val="NormalWeb"/>
        <w:spacing w:before="0" w:beforeAutospacing="0" w:after="0" w:afterAutospacing="0"/>
        <w:divId w:val="1404909579"/>
        <w:rPr>
          <w:sz w:val="22"/>
          <w:szCs w:val="22"/>
        </w:rPr>
      </w:pPr>
      <w:r>
        <w:rPr>
          <w:rStyle w:val="Strong"/>
          <w:sz w:val="22"/>
          <w:szCs w:val="22"/>
          <w:shd w:val="clear" w:color="auto" w:fill="FFFF00"/>
        </w:rPr>
        <w:t> </w:t>
      </w:r>
    </w:p>
    <w:p w14:paraId="45612A47" w14:textId="77777777" w:rsidR="002B02D6" w:rsidRDefault="002B02D6">
      <w:pPr>
        <w:pStyle w:val="NormalWeb"/>
        <w:spacing w:before="0" w:beforeAutospacing="0" w:after="0" w:afterAutospacing="0"/>
        <w:divId w:val="1404909579"/>
        <w:rPr>
          <w:sz w:val="22"/>
          <w:szCs w:val="22"/>
        </w:rPr>
      </w:pPr>
      <w:r>
        <w:rPr>
          <w:rStyle w:val="Emphasis"/>
          <w:sz w:val="22"/>
          <w:szCs w:val="22"/>
        </w:rPr>
        <w:t>Participants 18</w:t>
      </w:r>
      <w:r>
        <w:rPr>
          <w:sz w:val="22"/>
          <w:szCs w:val="22"/>
        </w:rPr>
        <w:t> </w:t>
      </w:r>
      <w:r>
        <w:rPr>
          <w:rStyle w:val="Emphasis"/>
          <w:sz w:val="22"/>
          <w:szCs w:val="22"/>
        </w:rPr>
        <w:t xml:space="preserve">years of age and older </w:t>
      </w:r>
    </w:p>
    <w:p w14:paraId="3B9FB06C" w14:textId="77777777" w:rsidR="002B02D6" w:rsidRDefault="002B02D6">
      <w:pPr>
        <w:pStyle w:val="NormalWeb"/>
        <w:spacing w:before="0" w:beforeAutospacing="0" w:after="0" w:afterAutospacing="0"/>
        <w:divId w:val="1404909579"/>
        <w:rPr>
          <w:sz w:val="22"/>
          <w:szCs w:val="22"/>
        </w:rPr>
      </w:pPr>
      <w:r>
        <w:rPr>
          <w:sz w:val="22"/>
          <w:szCs w:val="22"/>
        </w:rPr>
        <w:t>The safety of Nuvaxovid was evaluated from an interim analysis of pooled data from 5 ongoing clinical trials conducted in Australia, South Africa, the United Kingdom, the United States and Mexico. At the time of the analysis, a total of 49,950 participants aged 18 years and older received at least one dose of the two-dose primary series of Nuvaxovid (n=30,058) or placebo (n=19,892). At the time of vaccination, the median age was 48 years (range 18 to 95 years). The median duration of follow-up was 70 </w:t>
      </w:r>
      <w:r>
        <w:rPr>
          <w:sz w:val="22"/>
          <w:szCs w:val="22"/>
        </w:rPr>
        <w:t>days post-Dose 2, with 32,993 (66%) participants completing more than 2 months follow-up post-Dose 2.</w:t>
      </w:r>
    </w:p>
    <w:p w14:paraId="783FF5C6" w14:textId="77777777" w:rsidR="002B02D6" w:rsidRDefault="002B02D6">
      <w:pPr>
        <w:pStyle w:val="NormalWeb"/>
        <w:spacing w:before="0" w:beforeAutospacing="0" w:after="0" w:afterAutospacing="0"/>
        <w:divId w:val="1404909579"/>
        <w:rPr>
          <w:sz w:val="22"/>
          <w:szCs w:val="22"/>
        </w:rPr>
      </w:pPr>
      <w:r>
        <w:rPr>
          <w:sz w:val="22"/>
          <w:szCs w:val="22"/>
        </w:rPr>
        <w:t> </w:t>
      </w:r>
    </w:p>
    <w:p w14:paraId="48C4A544" w14:textId="77777777" w:rsidR="002B02D6" w:rsidRDefault="002B02D6">
      <w:pPr>
        <w:pStyle w:val="NormalWeb"/>
        <w:spacing w:before="0" w:beforeAutospacing="0" w:after="0" w:afterAutospacing="0"/>
        <w:divId w:val="1404909579"/>
        <w:rPr>
          <w:sz w:val="22"/>
          <w:szCs w:val="22"/>
        </w:rPr>
      </w:pPr>
      <w:r>
        <w:rPr>
          <w:sz w:val="22"/>
          <w:szCs w:val="22"/>
        </w:rPr>
        <w:t>Of the pooled reactogenicity data, which includes participants aged 18 </w:t>
      </w:r>
      <w:r>
        <w:rPr>
          <w:sz w:val="22"/>
          <w:szCs w:val="22"/>
        </w:rPr>
        <w:t xml:space="preserve">years and older enrolled in the two phase 3 studies who received any dose of Nuvaxovid (n=20,055) or placebo (n=10,561), the most frequent adverse reactions were injection site tenderness (75%), injection site pain (62%), fatigue (53%), myalgia (51%), headache (50%), malaise (41%), arthralgia (24%), and nausea or vomiting (15%). Adverse reactions were usually mild to moderate in severity </w:t>
      </w:r>
      <w:r>
        <w:rPr>
          <w:rStyle w:val="normaltextrun"/>
          <w:color w:val="000000"/>
          <w:sz w:val="22"/>
          <w:szCs w:val="22"/>
          <w:shd w:val="clear" w:color="auto" w:fill="FFFFFF"/>
        </w:rPr>
        <w:t xml:space="preserve">with a </w:t>
      </w:r>
      <w:r>
        <w:rPr>
          <w:sz w:val="22"/>
          <w:szCs w:val="22"/>
        </w:rPr>
        <w:t>median duration of less than or equal to 2 days for local events and less than or equal to 1 </w:t>
      </w:r>
      <w:r>
        <w:rPr>
          <w:sz w:val="22"/>
          <w:szCs w:val="22"/>
        </w:rPr>
        <w:t>day for systemic events following vaccination.</w:t>
      </w:r>
    </w:p>
    <w:p w14:paraId="3B04F09A" w14:textId="77777777" w:rsidR="002B02D6" w:rsidRDefault="002B02D6">
      <w:pPr>
        <w:pStyle w:val="NormalWeb"/>
        <w:spacing w:before="0" w:beforeAutospacing="0" w:after="0" w:afterAutospacing="0"/>
        <w:divId w:val="1404909579"/>
        <w:rPr>
          <w:sz w:val="22"/>
          <w:szCs w:val="22"/>
        </w:rPr>
      </w:pPr>
      <w:r>
        <w:rPr>
          <w:sz w:val="22"/>
          <w:szCs w:val="22"/>
        </w:rPr>
        <w:t> </w:t>
      </w:r>
    </w:p>
    <w:p w14:paraId="478F280D" w14:textId="77777777" w:rsidR="002B02D6" w:rsidRDefault="002B02D6">
      <w:pPr>
        <w:pStyle w:val="NormalWeb"/>
        <w:spacing w:before="0" w:beforeAutospacing="0" w:after="0" w:afterAutospacing="0"/>
        <w:divId w:val="1404909579"/>
        <w:rPr>
          <w:sz w:val="22"/>
          <w:szCs w:val="22"/>
        </w:rPr>
      </w:pPr>
      <w:r>
        <w:rPr>
          <w:sz w:val="22"/>
          <w:szCs w:val="22"/>
        </w:rPr>
        <w:t>Overall, there was a higher incidence of adverse reactions in younger age groups: the incidence of injection site tenderness, injection site pain, fatigue, myalgia, headache, malaise, arthralgia, and nausea or vomiting was higher in adults aged 18 to less than 65 years than in those aged 65 years and above.</w:t>
      </w:r>
    </w:p>
    <w:p w14:paraId="5A0047F9" w14:textId="77777777" w:rsidR="002B02D6" w:rsidRDefault="002B02D6">
      <w:pPr>
        <w:pStyle w:val="NormalWeb"/>
        <w:spacing w:before="0" w:beforeAutospacing="0" w:after="0" w:afterAutospacing="0"/>
        <w:divId w:val="1404909579"/>
        <w:rPr>
          <w:sz w:val="22"/>
          <w:szCs w:val="22"/>
        </w:rPr>
      </w:pPr>
      <w:r>
        <w:rPr>
          <w:sz w:val="22"/>
          <w:szCs w:val="22"/>
        </w:rPr>
        <w:t> </w:t>
      </w:r>
    </w:p>
    <w:p w14:paraId="57D5FFB6" w14:textId="77777777" w:rsidR="002B02D6" w:rsidRDefault="002B02D6">
      <w:pPr>
        <w:pStyle w:val="NormalWeb"/>
        <w:spacing w:before="0" w:beforeAutospacing="0" w:after="0" w:afterAutospacing="0"/>
        <w:divId w:val="1404909579"/>
        <w:rPr>
          <w:sz w:val="22"/>
          <w:szCs w:val="22"/>
        </w:rPr>
      </w:pPr>
      <w:r>
        <w:rPr>
          <w:sz w:val="22"/>
          <w:szCs w:val="22"/>
        </w:rPr>
        <w:t>Local and systemic adverse reactions were more frequently reported after Dose 2 than after Dose 1.</w:t>
      </w:r>
    </w:p>
    <w:p w14:paraId="47BFC44E" w14:textId="77777777" w:rsidR="002B02D6" w:rsidRDefault="002B02D6">
      <w:pPr>
        <w:pStyle w:val="NormalWeb"/>
        <w:spacing w:before="0" w:beforeAutospacing="0" w:after="0" w:afterAutospacing="0"/>
        <w:divId w:val="1404909579"/>
        <w:rPr>
          <w:sz w:val="22"/>
          <w:szCs w:val="22"/>
        </w:rPr>
      </w:pPr>
      <w:r>
        <w:rPr>
          <w:sz w:val="22"/>
          <w:szCs w:val="22"/>
        </w:rPr>
        <w:t> </w:t>
      </w:r>
    </w:p>
    <w:p w14:paraId="22DAC05A" w14:textId="77777777" w:rsidR="002B02D6" w:rsidRDefault="002B02D6">
      <w:pPr>
        <w:pStyle w:val="NormalWeb"/>
        <w:spacing w:before="0" w:beforeAutospacing="0" w:after="0" w:afterAutospacing="0"/>
        <w:divId w:val="1404909579"/>
        <w:rPr>
          <w:sz w:val="22"/>
          <w:szCs w:val="22"/>
        </w:rPr>
      </w:pPr>
      <w:r>
        <w:rPr>
          <w:sz w:val="22"/>
          <w:szCs w:val="22"/>
        </w:rPr>
        <w:t>Licensed inactivated seasonal influenza vaccines were co-administered to participants on the same day as Dose 1 of Nuvaxovid (n=217) or placebo (n=214) in the opposite deltoid muscle of the arm in 431 participants enrolled in an exploratory Phase 3 (2019nCoV-302) sub-study. The frequency of local and systemic adverse reactions in the influenza sub-study population was higher than in the main study population following Dose 1 in both Nuvaxovid and placebo recipients.</w:t>
      </w:r>
    </w:p>
    <w:p w14:paraId="3D11F245" w14:textId="77777777" w:rsidR="002B02D6" w:rsidRDefault="002B02D6">
      <w:pPr>
        <w:pStyle w:val="NormalWeb"/>
        <w:spacing w:before="0" w:beforeAutospacing="0" w:after="0" w:afterAutospacing="0"/>
        <w:divId w:val="1404909579"/>
        <w:rPr>
          <w:sz w:val="22"/>
          <w:szCs w:val="22"/>
        </w:rPr>
      </w:pPr>
      <w:r>
        <w:rPr>
          <w:sz w:val="22"/>
          <w:szCs w:val="22"/>
        </w:rPr>
        <w:t> </w:t>
      </w:r>
    </w:p>
    <w:p w14:paraId="74881608" w14:textId="77777777" w:rsidR="002B02D6" w:rsidRDefault="002B02D6">
      <w:pPr>
        <w:pStyle w:val="NormalWeb"/>
        <w:spacing w:before="0" w:beforeAutospacing="0" w:after="0" w:afterAutospacing="0"/>
        <w:divId w:val="1404909579"/>
        <w:rPr>
          <w:sz w:val="22"/>
          <w:szCs w:val="22"/>
        </w:rPr>
      </w:pPr>
      <w:r>
        <w:rPr>
          <w:rStyle w:val="Emphasis"/>
          <w:sz w:val="22"/>
          <w:szCs w:val="22"/>
        </w:rPr>
        <w:t>Adolescents 12 through 17</w:t>
      </w:r>
      <w:r>
        <w:rPr>
          <w:sz w:val="22"/>
          <w:szCs w:val="22"/>
        </w:rPr>
        <w:t> </w:t>
      </w:r>
      <w:r>
        <w:rPr>
          <w:rStyle w:val="Emphasis"/>
          <w:sz w:val="22"/>
          <w:szCs w:val="22"/>
        </w:rPr>
        <w:t>years of age</w:t>
      </w:r>
    </w:p>
    <w:p w14:paraId="23C2305C" w14:textId="77777777" w:rsidR="002B02D6" w:rsidRDefault="002B02D6">
      <w:pPr>
        <w:pStyle w:val="NormalWeb"/>
        <w:spacing w:before="0" w:beforeAutospacing="0" w:after="0" w:afterAutospacing="0"/>
        <w:divId w:val="1404909579"/>
        <w:rPr>
          <w:sz w:val="22"/>
          <w:szCs w:val="22"/>
        </w:rPr>
      </w:pPr>
      <w:r>
        <w:rPr>
          <w:sz w:val="22"/>
          <w:szCs w:val="22"/>
        </w:rPr>
        <w:t>The safety of Nuvaxovid in adolescents was evaluated in an interim analysis of the paediatric expansion portion of an ongoing Phase 3 multicentre, randomised, observer-blinded, placebo-controlled study (Study 2019nCoV-301). Safety data were collected in 2,232 participants 12 through 17 </w:t>
      </w:r>
      <w:r>
        <w:rPr>
          <w:sz w:val="22"/>
          <w:szCs w:val="22"/>
        </w:rPr>
        <w:t>years of age, with and without evidence of prior SARS CoV-2 infection, in United States who received at least one dose of Nuvaxovid (n=1,487) or placebo (n=745). Demographic characteristics were similar among participants who received Nuvaxovid and those who received placebo.</w:t>
      </w:r>
    </w:p>
    <w:p w14:paraId="6BC61236" w14:textId="77777777" w:rsidR="002B02D6" w:rsidRDefault="002B02D6">
      <w:pPr>
        <w:pStyle w:val="NormalWeb"/>
        <w:spacing w:before="0" w:beforeAutospacing="0" w:after="0" w:afterAutospacing="0"/>
        <w:divId w:val="1404909579"/>
        <w:rPr>
          <w:sz w:val="22"/>
          <w:szCs w:val="22"/>
        </w:rPr>
      </w:pPr>
      <w:r>
        <w:rPr>
          <w:sz w:val="22"/>
          <w:szCs w:val="22"/>
        </w:rPr>
        <w:t> </w:t>
      </w:r>
    </w:p>
    <w:p w14:paraId="28B584D3" w14:textId="77777777" w:rsidR="002B02D6" w:rsidRDefault="002B02D6">
      <w:pPr>
        <w:pStyle w:val="NormalWeb"/>
        <w:spacing w:before="0" w:beforeAutospacing="0" w:after="0" w:afterAutospacing="0"/>
        <w:divId w:val="1404909579"/>
        <w:rPr>
          <w:sz w:val="22"/>
          <w:szCs w:val="22"/>
        </w:rPr>
      </w:pPr>
      <w:r>
        <w:rPr>
          <w:sz w:val="22"/>
          <w:szCs w:val="22"/>
        </w:rPr>
        <w:t xml:space="preserve">The most frequent adverse reactions were injection site tenderness (71%), injection site pain (67%), headache (63%), myalgia (57%), fatigue (54%), malaise (43%), nausea or vomiting (23%), arthralgia (19%) and pyrexia (17%). Fever was observed more frequently in adolescents aged 12 through to 17 years compared to adults, with the frequency being very common after the second dose in adolescents. Adverse reactions were usually mild to moderate in severity </w:t>
      </w:r>
      <w:r>
        <w:rPr>
          <w:rStyle w:val="normaltextrun"/>
          <w:sz w:val="22"/>
          <w:szCs w:val="22"/>
        </w:rPr>
        <w:t xml:space="preserve">with a </w:t>
      </w:r>
      <w:r>
        <w:rPr>
          <w:sz w:val="22"/>
          <w:szCs w:val="22"/>
        </w:rPr>
        <w:t>median duration of less than or equal to 2 </w:t>
      </w:r>
      <w:r>
        <w:rPr>
          <w:sz w:val="22"/>
          <w:szCs w:val="22"/>
        </w:rPr>
        <w:t>days for local events and less than or equal to 1 day for systemic events following vaccination.</w:t>
      </w:r>
    </w:p>
    <w:p w14:paraId="56B55902" w14:textId="77777777" w:rsidR="002B02D6" w:rsidRDefault="002B02D6">
      <w:pPr>
        <w:pStyle w:val="NormalWeb"/>
        <w:spacing w:before="0" w:beforeAutospacing="0" w:after="0" w:afterAutospacing="0" w:line="260" w:lineRule="atLeast"/>
        <w:ind w:right="102"/>
        <w:divId w:val="1404909579"/>
        <w:rPr>
          <w:sz w:val="22"/>
          <w:szCs w:val="22"/>
        </w:rPr>
      </w:pPr>
      <w:r>
        <w:rPr>
          <w:rStyle w:val="Emphasis"/>
          <w:sz w:val="22"/>
          <w:szCs w:val="22"/>
        </w:rPr>
        <w:t> </w:t>
      </w:r>
    </w:p>
    <w:p w14:paraId="06249113" w14:textId="77777777" w:rsidR="002B02D6" w:rsidRDefault="002B02D6">
      <w:pPr>
        <w:pStyle w:val="NormalWeb"/>
        <w:spacing w:before="0" w:beforeAutospacing="0" w:after="0" w:afterAutospacing="0"/>
        <w:divId w:val="1404909579"/>
        <w:rPr>
          <w:sz w:val="22"/>
          <w:szCs w:val="22"/>
        </w:rPr>
      </w:pPr>
      <w:r>
        <w:rPr>
          <w:sz w:val="22"/>
          <w:szCs w:val="22"/>
          <w:u w:val="single"/>
        </w:rPr>
        <w:t>Summary of the safety profile after booster dose</w:t>
      </w:r>
    </w:p>
    <w:p w14:paraId="43DE363B" w14:textId="77777777" w:rsidR="002B02D6" w:rsidRDefault="002B02D6">
      <w:pPr>
        <w:pStyle w:val="NormalWeb"/>
        <w:spacing w:before="0" w:beforeAutospacing="0" w:after="0" w:afterAutospacing="0" w:line="260" w:lineRule="atLeast"/>
        <w:ind w:right="102"/>
        <w:divId w:val="1404909579"/>
        <w:rPr>
          <w:sz w:val="22"/>
          <w:szCs w:val="22"/>
        </w:rPr>
      </w:pPr>
      <w:r>
        <w:rPr>
          <w:rStyle w:val="Emphasis"/>
          <w:sz w:val="22"/>
          <w:szCs w:val="22"/>
        </w:rPr>
        <w:t> </w:t>
      </w:r>
    </w:p>
    <w:p w14:paraId="3ED35558" w14:textId="77777777" w:rsidR="002B02D6" w:rsidRDefault="002B02D6">
      <w:pPr>
        <w:pStyle w:val="NormalWeb"/>
        <w:spacing w:before="0" w:beforeAutospacing="0" w:after="0" w:afterAutospacing="0" w:line="260" w:lineRule="atLeast"/>
        <w:ind w:right="102"/>
        <w:divId w:val="1404909579"/>
        <w:rPr>
          <w:sz w:val="22"/>
          <w:szCs w:val="22"/>
        </w:rPr>
      </w:pPr>
      <w:r>
        <w:rPr>
          <w:rStyle w:val="Emphasis"/>
          <w:sz w:val="22"/>
          <w:szCs w:val="22"/>
        </w:rPr>
        <w:t xml:space="preserve">Participants 18 years of age and older </w:t>
      </w:r>
    </w:p>
    <w:p w14:paraId="4C7DD7A0" w14:textId="77777777" w:rsidR="002B02D6" w:rsidRDefault="002B02D6">
      <w:pPr>
        <w:pStyle w:val="NormalWeb"/>
        <w:spacing w:before="0" w:beforeAutospacing="0" w:after="0" w:afterAutospacing="0"/>
        <w:divId w:val="1404909579"/>
        <w:rPr>
          <w:sz w:val="22"/>
          <w:szCs w:val="22"/>
        </w:rPr>
      </w:pPr>
      <w:r>
        <w:rPr>
          <w:sz w:val="22"/>
          <w:szCs w:val="22"/>
        </w:rPr>
        <w:t>In an independent study (CoV-BOOST study, EudraCT 2021-002175-19) evaluating the use of a Nuvaxovid booster dose in individuals who had completed primary vaccination with an authorised mRNA COVID-19 vaccine or adenoviral vector COVID-19 vaccine, no new safety concerns were identified.</w:t>
      </w:r>
    </w:p>
    <w:p w14:paraId="12C5F9FB" w14:textId="77777777" w:rsidR="002B02D6" w:rsidRDefault="002B02D6">
      <w:pPr>
        <w:pStyle w:val="NormalWeb"/>
        <w:spacing w:before="0" w:beforeAutospacing="0" w:after="0" w:afterAutospacing="0"/>
        <w:divId w:val="1404909579"/>
        <w:rPr>
          <w:sz w:val="22"/>
          <w:szCs w:val="22"/>
        </w:rPr>
      </w:pPr>
      <w:r>
        <w:rPr>
          <w:sz w:val="22"/>
          <w:szCs w:val="22"/>
        </w:rPr>
        <w:t> </w:t>
      </w:r>
    </w:p>
    <w:p w14:paraId="5013D864" w14:textId="77777777" w:rsidR="002B02D6" w:rsidRDefault="002B02D6">
      <w:pPr>
        <w:pStyle w:val="NormalWeb"/>
        <w:spacing w:before="0" w:beforeAutospacing="0" w:after="120" w:afterAutospacing="0"/>
        <w:divId w:val="1404909579"/>
        <w:rPr>
          <w:sz w:val="22"/>
          <w:szCs w:val="22"/>
        </w:rPr>
      </w:pPr>
      <w:r>
        <w:rPr>
          <w:sz w:val="22"/>
          <w:szCs w:val="22"/>
        </w:rPr>
        <w:t>The safety and immunogenicity of a booster dose of Nuvaxovid was evaluated in an ongoing Phase 3, multicenter, randomized, observer-blinded, placebo-controlled study (Study 2019nCoV-301). Overall, 12,777 participants received a booster dose of the vaccine at least 6 months after the two-dose primary series (median of 11 months between completion of primary series and booster dose). Of the 12,777 participants who received a booster dose, 39 participants did not receive Nuvaxovid for all three doses. The safe</w:t>
      </w:r>
      <w:r>
        <w:rPr>
          <w:sz w:val="22"/>
          <w:szCs w:val="22"/>
        </w:rPr>
        <w:t>ty analyses included evaluation of solicited local and systemic adverse reactions within 7 days after a booster dose for participants who completed the electronic diary (n=10,137).</w:t>
      </w:r>
    </w:p>
    <w:p w14:paraId="246155BD" w14:textId="77777777" w:rsidR="002B02D6" w:rsidRDefault="002B02D6">
      <w:pPr>
        <w:pStyle w:val="NormalWeb"/>
        <w:spacing w:before="120" w:beforeAutospacing="0" w:after="0" w:afterAutospacing="0"/>
        <w:divId w:val="1404909579"/>
        <w:rPr>
          <w:sz w:val="22"/>
          <w:szCs w:val="22"/>
        </w:rPr>
      </w:pPr>
      <w:r>
        <w:rPr>
          <w:sz w:val="22"/>
          <w:szCs w:val="22"/>
        </w:rPr>
        <w:t>The most frequent solicited adverse reactions were injection site tenderness (73%), injection site pain (61%), fatigue (52%), muscle pain (51.%), headache (45.%), malaise (40%), and joint pain (26.%).</w:t>
      </w:r>
    </w:p>
    <w:p w14:paraId="4522EC3B" w14:textId="77777777" w:rsidR="002B02D6" w:rsidRDefault="002B02D6">
      <w:pPr>
        <w:pStyle w:val="NormalWeb"/>
        <w:spacing w:before="0" w:beforeAutospacing="0" w:after="0" w:afterAutospacing="0"/>
        <w:divId w:val="1404909579"/>
        <w:rPr>
          <w:sz w:val="22"/>
          <w:szCs w:val="22"/>
        </w:rPr>
      </w:pPr>
      <w:r>
        <w:rPr>
          <w:sz w:val="22"/>
          <w:szCs w:val="22"/>
        </w:rPr>
        <w:t> </w:t>
      </w:r>
    </w:p>
    <w:p w14:paraId="67CD7297" w14:textId="77777777" w:rsidR="002B02D6" w:rsidRDefault="002B02D6">
      <w:pPr>
        <w:pStyle w:val="NormalWeb"/>
        <w:spacing w:before="0" w:beforeAutospacing="0" w:after="0" w:afterAutospacing="0" w:line="260" w:lineRule="atLeast"/>
        <w:ind w:right="102"/>
        <w:divId w:val="1404909579"/>
        <w:rPr>
          <w:sz w:val="22"/>
          <w:szCs w:val="22"/>
        </w:rPr>
      </w:pPr>
      <w:r>
        <w:rPr>
          <w:rStyle w:val="Emphasis"/>
          <w:sz w:val="22"/>
          <w:szCs w:val="22"/>
        </w:rPr>
        <w:t>Adolescents 12 through 17 years of age</w:t>
      </w:r>
    </w:p>
    <w:p w14:paraId="4FB1FEEB" w14:textId="77777777" w:rsidR="002B02D6" w:rsidRDefault="002B02D6">
      <w:pPr>
        <w:pStyle w:val="NormalWeb"/>
        <w:spacing w:before="0" w:beforeAutospacing="0" w:after="0" w:afterAutospacing="0" w:line="260" w:lineRule="atLeast"/>
        <w:ind w:right="102"/>
        <w:divId w:val="1404909579"/>
        <w:rPr>
          <w:sz w:val="22"/>
          <w:szCs w:val="22"/>
        </w:rPr>
      </w:pPr>
      <w:r>
        <w:rPr>
          <w:sz w:val="22"/>
          <w:szCs w:val="22"/>
        </w:rPr>
        <w:t xml:space="preserve">The safety </w:t>
      </w:r>
      <w:r>
        <w:rPr>
          <w:color w:val="000000"/>
          <w:sz w:val="22"/>
          <w:szCs w:val="22"/>
          <w:shd w:val="clear" w:color="auto" w:fill="FFFFFF"/>
        </w:rPr>
        <w:t xml:space="preserve">of a booster dose </w:t>
      </w:r>
      <w:r>
        <w:rPr>
          <w:sz w:val="22"/>
          <w:szCs w:val="22"/>
        </w:rPr>
        <w:t>of Nuvaxovid</w:t>
      </w:r>
      <w:r>
        <w:rPr>
          <w:color w:val="000000"/>
          <w:sz w:val="22"/>
          <w:szCs w:val="22"/>
          <w:shd w:val="clear" w:color="auto" w:fill="FFFFFF"/>
        </w:rPr>
        <w:t xml:space="preserve"> </w:t>
      </w:r>
      <w:r>
        <w:rPr>
          <w:sz w:val="22"/>
          <w:szCs w:val="22"/>
        </w:rPr>
        <w:t>was evaluated in an interim analysis of an ongoing Phase 3 study (Study 2019nCoV-301).</w:t>
      </w:r>
      <w:r>
        <w:rPr>
          <w:rStyle w:val="Emphasis"/>
          <w:rFonts w:ascii="Calibri" w:hAnsi="Calibri" w:cs="Calibri"/>
          <w:color w:val="0070C0"/>
          <w:sz w:val="20"/>
          <w:szCs w:val="20"/>
        </w:rPr>
        <w:t xml:space="preserve"> </w:t>
      </w:r>
      <w:r>
        <w:rPr>
          <w:sz w:val="22"/>
          <w:szCs w:val="22"/>
        </w:rPr>
        <w:t>A total of 1,499 participants received a booster dose approximately 9 months after receiving Dose </w:t>
      </w:r>
      <w:r>
        <w:rPr>
          <w:sz w:val="22"/>
          <w:szCs w:val="22"/>
        </w:rPr>
        <w:t>2 of the primary series. A subset of 220 participants who received the booster dose were evaluated for solicited adverse reactions within 7 days after the booster dose (Ad Hoc Booster Safety Analysis Set), of whom 190 completed the electronic diary.</w:t>
      </w:r>
    </w:p>
    <w:p w14:paraId="7A8D6512" w14:textId="77777777" w:rsidR="002B02D6" w:rsidRDefault="002B02D6">
      <w:pPr>
        <w:pStyle w:val="NormalWeb"/>
        <w:spacing w:before="0" w:beforeAutospacing="0" w:after="0" w:afterAutospacing="0"/>
        <w:divId w:val="1404909579"/>
        <w:rPr>
          <w:sz w:val="22"/>
          <w:szCs w:val="22"/>
        </w:rPr>
      </w:pPr>
      <w:r>
        <w:rPr>
          <w:sz w:val="22"/>
          <w:szCs w:val="22"/>
        </w:rPr>
        <w:t>Solicited adverse reactions occurred at higher frequencies and with higher grade in adolescents compared to adults. The most frequent solicited adverse reactions were injection site tenderness (72%), headache (68%), fatigue (66%), injection site pain (64%), muscle pain (62%), malaise (47%), and nausea/vomiting (26%) with a median duration of 1 to 2 </w:t>
      </w:r>
      <w:r>
        <w:rPr>
          <w:sz w:val="22"/>
          <w:szCs w:val="22"/>
        </w:rPr>
        <w:t>days following vaccination. No new safety concerns from the time of the booster dose administration through 28 days after administration were noted among participants.</w:t>
      </w:r>
    </w:p>
    <w:p w14:paraId="1D6B4C5E" w14:textId="77777777" w:rsidR="002B02D6" w:rsidRDefault="002B02D6">
      <w:pPr>
        <w:pStyle w:val="NormalWeb"/>
        <w:spacing w:before="0" w:beforeAutospacing="0" w:after="0" w:afterAutospacing="0"/>
        <w:divId w:val="1404909579"/>
        <w:rPr>
          <w:sz w:val="22"/>
          <w:szCs w:val="22"/>
        </w:rPr>
      </w:pPr>
      <w:r>
        <w:rPr>
          <w:sz w:val="22"/>
          <w:szCs w:val="22"/>
        </w:rPr>
        <w:t> </w:t>
      </w:r>
    </w:p>
    <w:p w14:paraId="385D6A1F" w14:textId="77777777" w:rsidR="002B02D6" w:rsidRDefault="002B02D6">
      <w:pPr>
        <w:pStyle w:val="NormalWeb"/>
        <w:spacing w:before="0" w:beforeAutospacing="0" w:after="0" w:afterAutospacing="0"/>
        <w:divId w:val="1404909579"/>
        <w:rPr>
          <w:sz w:val="22"/>
          <w:szCs w:val="22"/>
        </w:rPr>
      </w:pPr>
      <w:r>
        <w:rPr>
          <w:sz w:val="22"/>
          <w:szCs w:val="22"/>
          <w:u w:val="single"/>
        </w:rPr>
        <w:t>Tabulated list of adverse reactions</w:t>
      </w:r>
    </w:p>
    <w:p w14:paraId="72BCF509" w14:textId="77777777" w:rsidR="002B02D6" w:rsidRDefault="002B02D6">
      <w:pPr>
        <w:pStyle w:val="NormalWeb"/>
        <w:spacing w:before="0" w:beforeAutospacing="0" w:after="0" w:afterAutospacing="0"/>
        <w:divId w:val="1404909579"/>
        <w:rPr>
          <w:sz w:val="22"/>
          <w:szCs w:val="22"/>
        </w:rPr>
      </w:pPr>
      <w:r>
        <w:rPr>
          <w:sz w:val="22"/>
          <w:szCs w:val="22"/>
        </w:rPr>
        <w:t> </w:t>
      </w:r>
    </w:p>
    <w:p w14:paraId="561148F0" w14:textId="77777777" w:rsidR="002B02D6" w:rsidRDefault="002B02D6">
      <w:pPr>
        <w:pStyle w:val="NormalWeb"/>
        <w:spacing w:before="0" w:beforeAutospacing="0" w:after="0" w:afterAutospacing="0"/>
        <w:divId w:val="1404909579"/>
        <w:rPr>
          <w:sz w:val="22"/>
          <w:szCs w:val="22"/>
        </w:rPr>
      </w:pPr>
      <w:r>
        <w:rPr>
          <w:sz w:val="22"/>
          <w:szCs w:val="22"/>
        </w:rPr>
        <w:t>Adverse reactions observed during clinical studies are listed below according to the following frequency categories:</w:t>
      </w:r>
    </w:p>
    <w:p w14:paraId="702803F7" w14:textId="77777777" w:rsidR="002B02D6" w:rsidRDefault="002B02D6">
      <w:pPr>
        <w:pStyle w:val="NormalWeb"/>
        <w:spacing w:before="0" w:beforeAutospacing="0" w:after="0" w:afterAutospacing="0"/>
        <w:divId w:val="1404909579"/>
        <w:rPr>
          <w:sz w:val="22"/>
          <w:szCs w:val="22"/>
        </w:rPr>
      </w:pPr>
      <w:r>
        <w:rPr>
          <w:sz w:val="22"/>
          <w:szCs w:val="22"/>
        </w:rPr>
        <w:t>Very common (≥ 1/10),</w:t>
      </w:r>
    </w:p>
    <w:p w14:paraId="4A2D0055" w14:textId="77777777" w:rsidR="002B02D6" w:rsidRDefault="002B02D6">
      <w:pPr>
        <w:pStyle w:val="NormalWeb"/>
        <w:spacing w:before="0" w:beforeAutospacing="0" w:after="0" w:afterAutospacing="0"/>
        <w:divId w:val="1404909579"/>
        <w:rPr>
          <w:sz w:val="22"/>
          <w:szCs w:val="22"/>
        </w:rPr>
      </w:pPr>
      <w:r>
        <w:rPr>
          <w:sz w:val="22"/>
          <w:szCs w:val="22"/>
        </w:rPr>
        <w:t>Common (≥ 1/100 to &lt; 1/10),</w:t>
      </w:r>
    </w:p>
    <w:p w14:paraId="3B72A268" w14:textId="77777777" w:rsidR="002B02D6" w:rsidRDefault="002B02D6">
      <w:pPr>
        <w:pStyle w:val="NormalWeb"/>
        <w:spacing w:before="0" w:beforeAutospacing="0" w:after="0" w:afterAutospacing="0"/>
        <w:divId w:val="1404909579"/>
        <w:rPr>
          <w:sz w:val="22"/>
          <w:szCs w:val="22"/>
        </w:rPr>
      </w:pPr>
      <w:r>
        <w:rPr>
          <w:sz w:val="22"/>
          <w:szCs w:val="22"/>
        </w:rPr>
        <w:t>Uncommon (≥ 1/1,000 to &lt; 1/100),</w:t>
      </w:r>
    </w:p>
    <w:p w14:paraId="37CD4E57" w14:textId="77777777" w:rsidR="002B02D6" w:rsidRDefault="002B02D6">
      <w:pPr>
        <w:pStyle w:val="NormalWeb"/>
        <w:spacing w:before="0" w:beforeAutospacing="0" w:after="0" w:afterAutospacing="0"/>
        <w:divId w:val="1404909579"/>
        <w:rPr>
          <w:sz w:val="22"/>
          <w:szCs w:val="22"/>
        </w:rPr>
      </w:pPr>
      <w:r>
        <w:rPr>
          <w:sz w:val="22"/>
          <w:szCs w:val="22"/>
        </w:rPr>
        <w:t>Rare (≥ 1/10,000 to &lt; 1/1,000),</w:t>
      </w:r>
    </w:p>
    <w:p w14:paraId="5A434249" w14:textId="77777777" w:rsidR="002B02D6" w:rsidRDefault="002B02D6">
      <w:pPr>
        <w:pStyle w:val="NormalWeb"/>
        <w:spacing w:before="0" w:beforeAutospacing="0" w:after="0" w:afterAutospacing="0"/>
        <w:divId w:val="1404909579"/>
        <w:rPr>
          <w:sz w:val="22"/>
          <w:szCs w:val="22"/>
        </w:rPr>
      </w:pPr>
      <w:r>
        <w:rPr>
          <w:sz w:val="22"/>
          <w:szCs w:val="22"/>
        </w:rPr>
        <w:t>Very rare (&lt; 1/10,000),</w:t>
      </w:r>
    </w:p>
    <w:p w14:paraId="6152CCD3" w14:textId="77777777" w:rsidR="002B02D6" w:rsidRDefault="002B02D6">
      <w:pPr>
        <w:pStyle w:val="NormalWeb"/>
        <w:spacing w:before="0" w:beforeAutospacing="0" w:after="0" w:afterAutospacing="0"/>
        <w:divId w:val="1404909579"/>
        <w:rPr>
          <w:sz w:val="22"/>
          <w:szCs w:val="22"/>
        </w:rPr>
      </w:pPr>
      <w:r>
        <w:rPr>
          <w:sz w:val="22"/>
          <w:szCs w:val="22"/>
        </w:rPr>
        <w:t>Not known (cannot be estimated from the available data).</w:t>
      </w:r>
    </w:p>
    <w:p w14:paraId="4088A07B" w14:textId="77777777" w:rsidR="002B02D6" w:rsidRDefault="002B02D6">
      <w:pPr>
        <w:pStyle w:val="NormalWeb"/>
        <w:spacing w:before="0" w:beforeAutospacing="0" w:after="0" w:afterAutospacing="0"/>
        <w:divId w:val="1404909579"/>
        <w:rPr>
          <w:sz w:val="22"/>
          <w:szCs w:val="22"/>
        </w:rPr>
      </w:pPr>
      <w:r>
        <w:rPr>
          <w:sz w:val="22"/>
          <w:szCs w:val="22"/>
        </w:rPr>
        <w:t> </w:t>
      </w:r>
    </w:p>
    <w:p w14:paraId="548162C1" w14:textId="77777777" w:rsidR="002B02D6" w:rsidRDefault="002B02D6">
      <w:pPr>
        <w:pStyle w:val="NormalWeb"/>
        <w:spacing w:before="0" w:beforeAutospacing="0" w:after="0" w:afterAutospacing="0"/>
        <w:divId w:val="1404909579"/>
        <w:rPr>
          <w:sz w:val="22"/>
          <w:szCs w:val="22"/>
        </w:rPr>
      </w:pPr>
      <w:r>
        <w:rPr>
          <w:sz w:val="22"/>
          <w:szCs w:val="22"/>
        </w:rPr>
        <w:t>Within each frequency grouping, adverse reactions are presented in order of decreasing seriousness.</w:t>
      </w:r>
    </w:p>
    <w:p w14:paraId="02B65850" w14:textId="77777777" w:rsidR="002B02D6" w:rsidRDefault="002B02D6">
      <w:pPr>
        <w:pStyle w:val="NormalWeb"/>
        <w:spacing w:before="0" w:beforeAutospacing="0" w:after="0" w:afterAutospacing="0"/>
        <w:divId w:val="1404909579"/>
        <w:rPr>
          <w:sz w:val="22"/>
          <w:szCs w:val="22"/>
        </w:rPr>
      </w:pPr>
      <w:r>
        <w:rPr>
          <w:sz w:val="22"/>
          <w:szCs w:val="22"/>
        </w:rPr>
        <w:t> </w:t>
      </w:r>
    </w:p>
    <w:p w14:paraId="2866B281" w14:textId="77777777" w:rsidR="002B02D6" w:rsidRDefault="002B02D6">
      <w:pPr>
        <w:pStyle w:val="NormalWeb"/>
        <w:spacing w:before="0" w:beforeAutospacing="0" w:after="40" w:afterAutospacing="0"/>
        <w:divId w:val="1404909579"/>
        <w:rPr>
          <w:sz w:val="22"/>
          <w:szCs w:val="22"/>
        </w:rPr>
      </w:pPr>
      <w:r>
        <w:rPr>
          <w:rStyle w:val="Strong"/>
          <w:sz w:val="22"/>
          <w:szCs w:val="22"/>
        </w:rPr>
        <w:t xml:space="preserve">Table 1: Adverse reactions from Nuvaxovid clinical trials </w:t>
      </w:r>
      <w:r>
        <w:rPr>
          <w:rStyle w:val="Strong"/>
          <w:color w:val="000000"/>
          <w:sz w:val="22"/>
          <w:szCs w:val="22"/>
          <w:shd w:val="clear" w:color="auto" w:fill="FFFFFF"/>
        </w:rPr>
        <w:t>and post-</w:t>
      </w:r>
      <w:r>
        <w:rPr>
          <w:rStyle w:val="Strong"/>
          <w:strike/>
          <w:color w:val="000000"/>
          <w:sz w:val="22"/>
          <w:szCs w:val="22"/>
          <w:shd w:val="clear" w:color="auto" w:fill="FFFFFF"/>
        </w:rPr>
        <w:t xml:space="preserve"> </w:t>
      </w:r>
      <w:r>
        <w:rPr>
          <w:rStyle w:val="Strong"/>
          <w:color w:val="000000"/>
          <w:sz w:val="22"/>
          <w:szCs w:val="22"/>
          <w:shd w:val="clear" w:color="auto" w:fill="FFFFFF"/>
        </w:rPr>
        <w:t>authorisation experience</w:t>
      </w:r>
      <w:r>
        <w:rPr>
          <w:rStyle w:val="Strong"/>
          <w:sz w:val="22"/>
          <w:szCs w:val="22"/>
        </w:rPr>
        <w:t xml:space="preserve"> in individuals 12 years of age and older</w:t>
      </w:r>
    </w:p>
    <w:tbl>
      <w:tblPr>
        <w:tblW w:w="9480" w:type="dxa"/>
        <w:tblCellMar>
          <w:left w:w="0" w:type="dxa"/>
          <w:right w:w="0" w:type="dxa"/>
        </w:tblCellMar>
        <w:tblLook w:val="04A0" w:firstRow="1" w:lastRow="0" w:firstColumn="1" w:lastColumn="0" w:noHBand="0" w:noVBand="1"/>
      </w:tblPr>
      <w:tblGrid>
        <w:gridCol w:w="1704"/>
        <w:gridCol w:w="1350"/>
        <w:gridCol w:w="1440"/>
        <w:gridCol w:w="1890"/>
        <w:gridCol w:w="1548"/>
        <w:gridCol w:w="1548"/>
      </w:tblGrid>
      <w:tr w:rsidR="00000000" w14:paraId="2222EDDE" w14:textId="77777777">
        <w:trPr>
          <w:divId w:val="1404909579"/>
        </w:trPr>
        <w:tc>
          <w:tcPr>
            <w:tcW w:w="170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6DAD69C" w14:textId="77777777" w:rsidR="002B02D6" w:rsidRDefault="002B02D6">
            <w:pPr>
              <w:pStyle w:val="NormalWeb"/>
              <w:spacing w:before="0" w:beforeAutospacing="0" w:after="0" w:afterAutospacing="0"/>
              <w:rPr>
                <w:sz w:val="22"/>
                <w:szCs w:val="22"/>
              </w:rPr>
            </w:pPr>
            <w:r>
              <w:rPr>
                <w:rStyle w:val="Strong"/>
                <w:sz w:val="20"/>
                <w:szCs w:val="20"/>
              </w:rPr>
              <w:t>MedDRA System Organ Class</w:t>
            </w:r>
          </w:p>
        </w:tc>
        <w:tc>
          <w:tcPr>
            <w:tcW w:w="135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1467DDB1" w14:textId="77777777" w:rsidR="002B02D6" w:rsidRDefault="002B02D6">
            <w:pPr>
              <w:pStyle w:val="NormalWeb"/>
              <w:spacing w:before="0" w:beforeAutospacing="0" w:after="0" w:afterAutospacing="0"/>
              <w:jc w:val="center"/>
              <w:rPr>
                <w:sz w:val="22"/>
                <w:szCs w:val="22"/>
              </w:rPr>
            </w:pPr>
            <w:r>
              <w:rPr>
                <w:rStyle w:val="Strong"/>
                <w:sz w:val="20"/>
                <w:szCs w:val="20"/>
              </w:rPr>
              <w:t>Very common</w:t>
            </w:r>
          </w:p>
          <w:p w14:paraId="6FB0798F" w14:textId="77777777" w:rsidR="002B02D6" w:rsidRDefault="002B02D6">
            <w:pPr>
              <w:pStyle w:val="NormalWeb"/>
              <w:spacing w:before="0" w:beforeAutospacing="0" w:after="0" w:afterAutospacing="0"/>
              <w:jc w:val="center"/>
              <w:rPr>
                <w:sz w:val="22"/>
                <w:szCs w:val="22"/>
              </w:rPr>
            </w:pPr>
            <w:r>
              <w:rPr>
                <w:rStyle w:val="Strong"/>
                <w:sz w:val="20"/>
                <w:szCs w:val="20"/>
              </w:rPr>
              <w:t>(≥</w:t>
            </w:r>
            <w:r>
              <w:rPr>
                <w:sz w:val="20"/>
                <w:szCs w:val="20"/>
              </w:rPr>
              <w:t> </w:t>
            </w:r>
            <w:r>
              <w:rPr>
                <w:rStyle w:val="Strong"/>
                <w:sz w:val="20"/>
                <w:szCs w:val="20"/>
              </w:rPr>
              <w:t>1/10)</w:t>
            </w:r>
          </w:p>
        </w:tc>
        <w:tc>
          <w:tcPr>
            <w:tcW w:w="144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60344DDF" w14:textId="77777777" w:rsidR="002B02D6" w:rsidRDefault="002B02D6">
            <w:pPr>
              <w:pStyle w:val="NormalWeb"/>
              <w:spacing w:before="0" w:beforeAutospacing="0" w:after="0" w:afterAutospacing="0"/>
              <w:jc w:val="center"/>
              <w:rPr>
                <w:sz w:val="22"/>
                <w:szCs w:val="22"/>
              </w:rPr>
            </w:pPr>
            <w:r>
              <w:rPr>
                <w:rStyle w:val="Strong"/>
                <w:sz w:val="20"/>
                <w:szCs w:val="20"/>
              </w:rPr>
              <w:t>Common</w:t>
            </w:r>
          </w:p>
          <w:p w14:paraId="519C45A4" w14:textId="77777777" w:rsidR="002B02D6" w:rsidRDefault="002B02D6">
            <w:pPr>
              <w:pStyle w:val="NormalWeb"/>
              <w:spacing w:before="0" w:beforeAutospacing="0" w:after="0" w:afterAutospacing="0"/>
              <w:jc w:val="center"/>
              <w:rPr>
                <w:sz w:val="22"/>
                <w:szCs w:val="22"/>
              </w:rPr>
            </w:pPr>
            <w:r>
              <w:rPr>
                <w:rStyle w:val="Strong"/>
                <w:sz w:val="20"/>
                <w:szCs w:val="20"/>
              </w:rPr>
              <w:t>(≥ 1/100 to</w:t>
            </w:r>
          </w:p>
          <w:p w14:paraId="7328986A" w14:textId="77777777" w:rsidR="002B02D6" w:rsidRDefault="002B02D6">
            <w:pPr>
              <w:pStyle w:val="NormalWeb"/>
              <w:spacing w:before="0" w:beforeAutospacing="0" w:after="0" w:afterAutospacing="0"/>
              <w:jc w:val="center"/>
              <w:rPr>
                <w:sz w:val="22"/>
                <w:szCs w:val="22"/>
              </w:rPr>
            </w:pPr>
            <w:r>
              <w:rPr>
                <w:rStyle w:val="Strong"/>
                <w:sz w:val="20"/>
                <w:szCs w:val="20"/>
              </w:rPr>
              <w:t>&lt;</w:t>
            </w:r>
            <w:r>
              <w:rPr>
                <w:sz w:val="20"/>
                <w:szCs w:val="20"/>
              </w:rPr>
              <w:t> </w:t>
            </w:r>
            <w:r>
              <w:rPr>
                <w:rStyle w:val="Strong"/>
                <w:sz w:val="20"/>
                <w:szCs w:val="20"/>
              </w:rPr>
              <w:t>1/10)</w:t>
            </w:r>
          </w:p>
        </w:tc>
        <w:tc>
          <w:tcPr>
            <w:tcW w:w="189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776C13AA" w14:textId="77777777" w:rsidR="002B02D6" w:rsidRDefault="002B02D6">
            <w:pPr>
              <w:pStyle w:val="NormalWeb"/>
              <w:spacing w:before="0" w:beforeAutospacing="0" w:after="0" w:afterAutospacing="0"/>
              <w:jc w:val="center"/>
              <w:rPr>
                <w:sz w:val="22"/>
                <w:szCs w:val="22"/>
              </w:rPr>
            </w:pPr>
            <w:r>
              <w:rPr>
                <w:rStyle w:val="Strong"/>
                <w:sz w:val="20"/>
                <w:szCs w:val="20"/>
              </w:rPr>
              <w:t>Uncommon (≥ 1/1,000 to</w:t>
            </w:r>
          </w:p>
          <w:p w14:paraId="083B5606" w14:textId="77777777" w:rsidR="002B02D6" w:rsidRDefault="002B02D6">
            <w:pPr>
              <w:pStyle w:val="NormalWeb"/>
              <w:spacing w:before="0" w:beforeAutospacing="0" w:after="0" w:afterAutospacing="0"/>
              <w:jc w:val="center"/>
              <w:rPr>
                <w:sz w:val="22"/>
                <w:szCs w:val="22"/>
              </w:rPr>
            </w:pPr>
            <w:r>
              <w:rPr>
                <w:rStyle w:val="Strong"/>
                <w:sz w:val="20"/>
                <w:szCs w:val="20"/>
              </w:rPr>
              <w:t>&lt; 1/100)</w:t>
            </w:r>
          </w:p>
        </w:tc>
        <w:tc>
          <w:tcPr>
            <w:tcW w:w="1548" w:type="dxa"/>
            <w:tcBorders>
              <w:top w:val="single" w:sz="8" w:space="0" w:color="000000"/>
              <w:left w:val="nil"/>
              <w:bottom w:val="single" w:sz="8" w:space="0" w:color="000000"/>
              <w:right w:val="single" w:sz="8" w:space="0" w:color="000000"/>
            </w:tcBorders>
            <w:tcMar>
              <w:top w:w="0" w:type="dxa"/>
              <w:left w:w="10" w:type="dxa"/>
              <w:bottom w:w="0" w:type="dxa"/>
              <w:right w:w="10" w:type="dxa"/>
            </w:tcMar>
            <w:hideMark/>
          </w:tcPr>
          <w:p w14:paraId="675FE1FE" w14:textId="77777777" w:rsidR="002B02D6" w:rsidRDefault="002B02D6">
            <w:pPr>
              <w:pStyle w:val="NormalWeb"/>
              <w:spacing w:before="0" w:beforeAutospacing="0" w:after="0" w:afterAutospacing="0"/>
              <w:jc w:val="center"/>
              <w:rPr>
                <w:sz w:val="22"/>
                <w:szCs w:val="22"/>
              </w:rPr>
            </w:pPr>
            <w:r>
              <w:rPr>
                <w:rStyle w:val="Strong"/>
                <w:sz w:val="20"/>
                <w:szCs w:val="20"/>
              </w:rPr>
              <w:t xml:space="preserve">Rare </w:t>
            </w:r>
          </w:p>
          <w:p w14:paraId="646DC7DB" w14:textId="77777777" w:rsidR="002B02D6" w:rsidRDefault="002B02D6">
            <w:pPr>
              <w:pStyle w:val="NormalWeb"/>
              <w:spacing w:before="0" w:beforeAutospacing="0" w:after="0" w:afterAutospacing="0"/>
              <w:jc w:val="center"/>
              <w:rPr>
                <w:sz w:val="22"/>
                <w:szCs w:val="22"/>
              </w:rPr>
            </w:pPr>
            <w:r>
              <w:rPr>
                <w:rStyle w:val="Strong"/>
                <w:sz w:val="20"/>
                <w:szCs w:val="20"/>
              </w:rPr>
              <w:t>(≥ 1/10,000 to &lt; 1/1,000)</w:t>
            </w:r>
          </w:p>
        </w:tc>
        <w:tc>
          <w:tcPr>
            <w:tcW w:w="1548" w:type="dxa"/>
            <w:tcBorders>
              <w:top w:val="single" w:sz="8" w:space="0" w:color="000000"/>
              <w:left w:val="nil"/>
              <w:bottom w:val="single" w:sz="8" w:space="0" w:color="000000"/>
              <w:right w:val="single" w:sz="8" w:space="0" w:color="000000"/>
            </w:tcBorders>
            <w:tcMar>
              <w:top w:w="0" w:type="dxa"/>
              <w:left w:w="10" w:type="dxa"/>
              <w:bottom w:w="0" w:type="dxa"/>
              <w:right w:w="10" w:type="dxa"/>
            </w:tcMar>
            <w:hideMark/>
          </w:tcPr>
          <w:p w14:paraId="6298FCB1" w14:textId="77777777" w:rsidR="002B02D6" w:rsidRDefault="002B02D6">
            <w:pPr>
              <w:pStyle w:val="NormalWeb"/>
              <w:spacing w:before="0" w:beforeAutospacing="0" w:after="0" w:afterAutospacing="0"/>
              <w:jc w:val="center"/>
              <w:rPr>
                <w:sz w:val="22"/>
                <w:szCs w:val="22"/>
              </w:rPr>
            </w:pPr>
            <w:r>
              <w:rPr>
                <w:rStyle w:val="Strong"/>
                <w:sz w:val="20"/>
                <w:szCs w:val="20"/>
              </w:rPr>
              <w:t>Not known (cannot be estimated from the available data)</w:t>
            </w:r>
          </w:p>
        </w:tc>
      </w:tr>
      <w:tr w:rsidR="00000000" w14:paraId="02153198"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10C0FC7" w14:textId="77777777" w:rsidR="002B02D6" w:rsidRDefault="002B02D6">
            <w:pPr>
              <w:pStyle w:val="NormalWeb"/>
              <w:spacing w:before="0" w:beforeAutospacing="0" w:after="0" w:afterAutospacing="0"/>
              <w:rPr>
                <w:sz w:val="22"/>
                <w:szCs w:val="22"/>
              </w:rPr>
            </w:pPr>
            <w:r>
              <w:rPr>
                <w:sz w:val="20"/>
                <w:szCs w:val="20"/>
              </w:rPr>
              <w:t>Blood and lymphatic system disorders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36C60CA0"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66DF2CF7"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1ACCED94" w14:textId="77777777" w:rsidR="002B02D6" w:rsidRDefault="002B02D6">
            <w:pPr>
              <w:pStyle w:val="NormalWeb"/>
              <w:spacing w:before="0" w:beforeAutospacing="0" w:after="0" w:afterAutospacing="0"/>
              <w:rPr>
                <w:sz w:val="22"/>
                <w:szCs w:val="22"/>
              </w:rPr>
            </w:pPr>
            <w:r>
              <w:rPr>
                <w:sz w:val="20"/>
                <w:szCs w:val="20"/>
              </w:rPr>
              <w:t>Lymphadenopathy</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42C3052E"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4EAA9B50" w14:textId="77777777" w:rsidR="002B02D6" w:rsidRDefault="002B02D6">
            <w:pPr>
              <w:pStyle w:val="NormalWeb"/>
              <w:spacing w:before="0" w:beforeAutospacing="0" w:after="0" w:afterAutospacing="0"/>
              <w:rPr>
                <w:sz w:val="22"/>
                <w:szCs w:val="22"/>
              </w:rPr>
            </w:pPr>
            <w:r>
              <w:rPr>
                <w:sz w:val="22"/>
                <w:szCs w:val="22"/>
              </w:rPr>
              <w:t> </w:t>
            </w:r>
          </w:p>
        </w:tc>
      </w:tr>
      <w:tr w:rsidR="00000000" w14:paraId="39CDBF9D"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21C4C6B" w14:textId="77777777" w:rsidR="002B02D6" w:rsidRDefault="002B02D6">
            <w:pPr>
              <w:pStyle w:val="NormalWeb"/>
              <w:spacing w:before="0" w:beforeAutospacing="0" w:after="0" w:afterAutospacing="0"/>
              <w:rPr>
                <w:sz w:val="22"/>
                <w:szCs w:val="22"/>
              </w:rPr>
            </w:pPr>
            <w:r>
              <w:rPr>
                <w:sz w:val="20"/>
                <w:szCs w:val="20"/>
              </w:rPr>
              <w:t>Immune system disorders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12AC6132"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7A1967BD"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3BADB929"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12A53922"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678D7BA8" w14:textId="77777777" w:rsidR="002B02D6" w:rsidRDefault="002B02D6">
            <w:pPr>
              <w:pStyle w:val="NormalWeb"/>
              <w:spacing w:before="0" w:beforeAutospacing="0" w:after="0" w:afterAutospacing="0"/>
              <w:rPr>
                <w:sz w:val="22"/>
                <w:szCs w:val="22"/>
              </w:rPr>
            </w:pPr>
            <w:r>
              <w:rPr>
                <w:sz w:val="20"/>
                <w:szCs w:val="20"/>
              </w:rPr>
              <w:t>Anaphylaxis</w:t>
            </w:r>
          </w:p>
        </w:tc>
      </w:tr>
      <w:tr w:rsidR="00000000" w14:paraId="7494DF42"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53CACE0" w14:textId="77777777" w:rsidR="002B02D6" w:rsidRDefault="002B02D6">
            <w:pPr>
              <w:pStyle w:val="NormalWeb"/>
              <w:spacing w:before="0" w:beforeAutospacing="0" w:after="0" w:afterAutospacing="0"/>
              <w:rPr>
                <w:sz w:val="22"/>
                <w:szCs w:val="22"/>
              </w:rPr>
            </w:pPr>
            <w:r>
              <w:rPr>
                <w:sz w:val="20"/>
                <w:szCs w:val="20"/>
              </w:rPr>
              <w:t>Nervous system disorders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23C0C1C0" w14:textId="77777777" w:rsidR="002B02D6" w:rsidRDefault="002B02D6">
            <w:pPr>
              <w:pStyle w:val="NormalWeb"/>
              <w:spacing w:before="0" w:beforeAutospacing="0" w:after="0" w:afterAutospacing="0" w:line="260" w:lineRule="atLeast"/>
              <w:rPr>
                <w:sz w:val="22"/>
                <w:szCs w:val="22"/>
              </w:rPr>
            </w:pPr>
            <w:r>
              <w:rPr>
                <w:sz w:val="20"/>
                <w:szCs w:val="20"/>
              </w:rPr>
              <w:t>Headache</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34D5BB51"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067FE0BB"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72DD124A"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26138F1B" w14:textId="77777777" w:rsidR="002B02D6" w:rsidRDefault="002B02D6">
            <w:pPr>
              <w:pStyle w:val="NormalWeb"/>
              <w:spacing w:before="0" w:beforeAutospacing="0" w:after="0" w:afterAutospacing="0"/>
              <w:rPr>
                <w:sz w:val="22"/>
                <w:szCs w:val="22"/>
              </w:rPr>
            </w:pPr>
            <w:r>
              <w:rPr>
                <w:sz w:val="20"/>
                <w:szCs w:val="20"/>
              </w:rPr>
              <w:t>Paraesthesia</w:t>
            </w:r>
          </w:p>
          <w:p w14:paraId="5765B9C7" w14:textId="77777777" w:rsidR="002B02D6" w:rsidRDefault="002B02D6">
            <w:pPr>
              <w:pStyle w:val="NormalWeb"/>
              <w:spacing w:before="0" w:beforeAutospacing="0" w:after="0" w:afterAutospacing="0"/>
              <w:rPr>
                <w:sz w:val="22"/>
                <w:szCs w:val="22"/>
              </w:rPr>
            </w:pPr>
            <w:r>
              <w:rPr>
                <w:sz w:val="20"/>
                <w:szCs w:val="20"/>
              </w:rPr>
              <w:t>Hypoaesthesia</w:t>
            </w:r>
          </w:p>
        </w:tc>
      </w:tr>
      <w:tr w:rsidR="00000000" w14:paraId="630B2750"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E45CA43" w14:textId="77777777" w:rsidR="002B02D6" w:rsidRDefault="002B02D6">
            <w:pPr>
              <w:pStyle w:val="NormalWeb"/>
              <w:spacing w:before="0" w:beforeAutospacing="0" w:after="0" w:afterAutospacing="0"/>
              <w:rPr>
                <w:sz w:val="22"/>
                <w:szCs w:val="22"/>
              </w:rPr>
            </w:pPr>
            <w:r>
              <w:rPr>
                <w:rStyle w:val="normaltextrun"/>
                <w:color w:val="000000"/>
                <w:sz w:val="20"/>
                <w:szCs w:val="20"/>
                <w:shd w:val="clear" w:color="auto" w:fill="FFFFFF"/>
              </w:rPr>
              <w:t xml:space="preserve">Cardiac </w:t>
            </w:r>
          </w:p>
          <w:p w14:paraId="266D1361" w14:textId="77777777" w:rsidR="002B02D6" w:rsidRDefault="002B02D6">
            <w:pPr>
              <w:pStyle w:val="NormalWeb"/>
              <w:spacing w:before="0" w:beforeAutospacing="0" w:after="0" w:afterAutospacing="0"/>
              <w:rPr>
                <w:sz w:val="22"/>
                <w:szCs w:val="22"/>
              </w:rPr>
            </w:pPr>
            <w:r>
              <w:rPr>
                <w:rStyle w:val="normaltextrun"/>
                <w:color w:val="000000"/>
                <w:sz w:val="20"/>
                <w:szCs w:val="20"/>
                <w:shd w:val="clear" w:color="auto" w:fill="FFFFFF"/>
              </w:rPr>
              <w:t>disorders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418D3C11"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62462B1F"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38F12106"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158CB814"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527E8306" w14:textId="77777777" w:rsidR="002B02D6" w:rsidRDefault="002B02D6">
            <w:pPr>
              <w:pStyle w:val="NormalWeb"/>
              <w:spacing w:before="0" w:beforeAutospacing="0" w:after="0" w:afterAutospacing="0"/>
              <w:rPr>
                <w:sz w:val="22"/>
                <w:szCs w:val="22"/>
              </w:rPr>
            </w:pPr>
            <w:r>
              <w:rPr>
                <w:sz w:val="20"/>
                <w:szCs w:val="20"/>
              </w:rPr>
              <w:t>Myocarditis</w:t>
            </w:r>
          </w:p>
          <w:p w14:paraId="5A755A04" w14:textId="77777777" w:rsidR="002B02D6" w:rsidRDefault="002B02D6">
            <w:pPr>
              <w:pStyle w:val="NormalWeb"/>
              <w:spacing w:before="0" w:beforeAutospacing="0" w:after="0" w:afterAutospacing="0"/>
              <w:rPr>
                <w:sz w:val="22"/>
                <w:szCs w:val="22"/>
              </w:rPr>
            </w:pPr>
            <w:r>
              <w:rPr>
                <w:sz w:val="20"/>
                <w:szCs w:val="20"/>
              </w:rPr>
              <w:t>Pericarditis</w:t>
            </w:r>
          </w:p>
        </w:tc>
      </w:tr>
      <w:tr w:rsidR="00000000" w14:paraId="7D83B57B"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DF01C6D" w14:textId="77777777" w:rsidR="002B02D6" w:rsidRDefault="002B02D6">
            <w:pPr>
              <w:pStyle w:val="NormalWeb"/>
              <w:spacing w:before="0" w:beforeAutospacing="0" w:after="0" w:afterAutospacing="0"/>
              <w:rPr>
                <w:sz w:val="22"/>
                <w:szCs w:val="22"/>
              </w:rPr>
            </w:pPr>
            <w:r>
              <w:rPr>
                <w:rStyle w:val="normaltextrun"/>
                <w:color w:val="000000"/>
                <w:sz w:val="20"/>
                <w:szCs w:val="20"/>
                <w:shd w:val="clear" w:color="auto" w:fill="FFFFFF"/>
              </w:rPr>
              <w:t>Vascular disorders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3F7F5ECF"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1465038B"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0245A4E5" w14:textId="77777777" w:rsidR="002B02D6" w:rsidRDefault="002B02D6">
            <w:pPr>
              <w:pStyle w:val="NormalWeb"/>
              <w:spacing w:before="0" w:beforeAutospacing="0" w:after="0" w:afterAutospacing="0"/>
              <w:rPr>
                <w:sz w:val="22"/>
                <w:szCs w:val="22"/>
              </w:rPr>
            </w:pPr>
            <w:r>
              <w:rPr>
                <w:sz w:val="20"/>
                <w:szCs w:val="20"/>
              </w:rPr>
              <w:t>Hypertension</w:t>
            </w:r>
            <w:r>
              <w:rPr>
                <w:sz w:val="20"/>
                <w:szCs w:val="20"/>
                <w:vertAlign w:val="superscript"/>
              </w:rPr>
              <w:t>d</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44D39DEA"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055DE0BF" w14:textId="77777777" w:rsidR="002B02D6" w:rsidRDefault="002B02D6">
            <w:pPr>
              <w:pStyle w:val="NormalWeb"/>
              <w:spacing w:before="0" w:beforeAutospacing="0" w:after="0" w:afterAutospacing="0"/>
              <w:rPr>
                <w:sz w:val="22"/>
                <w:szCs w:val="22"/>
              </w:rPr>
            </w:pPr>
            <w:r>
              <w:rPr>
                <w:sz w:val="22"/>
                <w:szCs w:val="22"/>
              </w:rPr>
              <w:t> </w:t>
            </w:r>
          </w:p>
        </w:tc>
      </w:tr>
      <w:tr w:rsidR="00000000" w14:paraId="28FAF3C0"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0D6356E" w14:textId="77777777" w:rsidR="002B02D6" w:rsidRDefault="002B02D6">
            <w:pPr>
              <w:pStyle w:val="NormalWeb"/>
              <w:spacing w:before="0" w:beforeAutospacing="0" w:after="0" w:afterAutospacing="0"/>
              <w:rPr>
                <w:sz w:val="22"/>
                <w:szCs w:val="22"/>
              </w:rPr>
            </w:pPr>
            <w:r>
              <w:rPr>
                <w:rStyle w:val="normaltextrun"/>
                <w:color w:val="000000"/>
                <w:sz w:val="20"/>
                <w:szCs w:val="20"/>
                <w:shd w:val="clear" w:color="auto" w:fill="FFFFFF"/>
              </w:rPr>
              <w:t>Gastrointestinal disorders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74CC9FA3" w14:textId="77777777" w:rsidR="002B02D6" w:rsidRDefault="002B02D6">
            <w:pPr>
              <w:pStyle w:val="NormalWeb"/>
              <w:spacing w:before="0" w:beforeAutospacing="0" w:after="0" w:afterAutospacing="0" w:line="260" w:lineRule="atLeast"/>
              <w:rPr>
                <w:sz w:val="22"/>
                <w:szCs w:val="22"/>
              </w:rPr>
            </w:pPr>
            <w:r>
              <w:rPr>
                <w:sz w:val="20"/>
                <w:szCs w:val="20"/>
              </w:rPr>
              <w:t>Nausea or vomiting</w:t>
            </w:r>
            <w:r>
              <w:rPr>
                <w:sz w:val="20"/>
                <w:szCs w:val="20"/>
                <w:vertAlign w:val="superscript"/>
              </w:rPr>
              <w:t>a</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691538E2"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6E341BED"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60204D87"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524B2C9A" w14:textId="77777777" w:rsidR="002B02D6" w:rsidRDefault="002B02D6">
            <w:pPr>
              <w:pStyle w:val="NormalWeb"/>
              <w:spacing w:before="0" w:beforeAutospacing="0" w:after="0" w:afterAutospacing="0"/>
              <w:rPr>
                <w:sz w:val="22"/>
                <w:szCs w:val="22"/>
              </w:rPr>
            </w:pPr>
            <w:r>
              <w:rPr>
                <w:sz w:val="22"/>
                <w:szCs w:val="22"/>
              </w:rPr>
              <w:t> </w:t>
            </w:r>
          </w:p>
        </w:tc>
      </w:tr>
      <w:tr w:rsidR="00000000" w14:paraId="3A1D0E77"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E65E47E" w14:textId="77777777" w:rsidR="002B02D6" w:rsidRDefault="002B02D6">
            <w:pPr>
              <w:pStyle w:val="NormalWeb"/>
              <w:spacing w:before="0" w:beforeAutospacing="0" w:after="0" w:afterAutospacing="0"/>
              <w:rPr>
                <w:sz w:val="22"/>
                <w:szCs w:val="22"/>
              </w:rPr>
            </w:pPr>
            <w:r>
              <w:rPr>
                <w:sz w:val="20"/>
                <w:szCs w:val="20"/>
              </w:rPr>
              <w:t>Skin and subcutaneous tissue disorders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65FB8425"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7D097F7E"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706CEEDF" w14:textId="77777777" w:rsidR="002B02D6" w:rsidRDefault="002B02D6">
            <w:pPr>
              <w:pStyle w:val="NormalWeb"/>
              <w:spacing w:before="0" w:beforeAutospacing="0" w:after="0" w:afterAutospacing="0" w:line="260" w:lineRule="atLeast"/>
              <w:rPr>
                <w:sz w:val="22"/>
                <w:szCs w:val="22"/>
              </w:rPr>
            </w:pPr>
            <w:r>
              <w:rPr>
                <w:sz w:val="20"/>
                <w:szCs w:val="20"/>
              </w:rPr>
              <w:t>Rash</w:t>
            </w:r>
          </w:p>
          <w:p w14:paraId="1E14C2A5" w14:textId="77777777" w:rsidR="002B02D6" w:rsidRDefault="002B02D6">
            <w:pPr>
              <w:pStyle w:val="NormalWeb"/>
              <w:spacing w:before="0" w:beforeAutospacing="0" w:after="0" w:afterAutospacing="0" w:line="260" w:lineRule="atLeast"/>
              <w:rPr>
                <w:sz w:val="22"/>
                <w:szCs w:val="22"/>
              </w:rPr>
            </w:pPr>
            <w:r>
              <w:rPr>
                <w:sz w:val="20"/>
                <w:szCs w:val="20"/>
              </w:rPr>
              <w:t>Erythema</w:t>
            </w:r>
          </w:p>
          <w:p w14:paraId="1D7C017F" w14:textId="77777777" w:rsidR="002B02D6" w:rsidRDefault="002B02D6">
            <w:pPr>
              <w:pStyle w:val="NormalWeb"/>
              <w:spacing w:before="0" w:beforeAutospacing="0" w:after="0" w:afterAutospacing="0" w:line="260" w:lineRule="atLeast"/>
              <w:rPr>
                <w:sz w:val="22"/>
                <w:szCs w:val="22"/>
              </w:rPr>
            </w:pPr>
            <w:r>
              <w:rPr>
                <w:sz w:val="20"/>
                <w:szCs w:val="20"/>
              </w:rPr>
              <w:t>Pruritus</w:t>
            </w:r>
          </w:p>
          <w:p w14:paraId="3952188A" w14:textId="77777777" w:rsidR="002B02D6" w:rsidRDefault="002B02D6">
            <w:pPr>
              <w:pStyle w:val="NormalWeb"/>
              <w:spacing w:before="0" w:beforeAutospacing="0" w:after="0" w:afterAutospacing="0"/>
              <w:rPr>
                <w:sz w:val="22"/>
                <w:szCs w:val="22"/>
              </w:rPr>
            </w:pPr>
            <w:r>
              <w:rPr>
                <w:sz w:val="20"/>
                <w:szCs w:val="20"/>
              </w:rPr>
              <w:t>Urticaria</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1D8430D7"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73525F40" w14:textId="77777777" w:rsidR="002B02D6" w:rsidRDefault="002B02D6">
            <w:pPr>
              <w:pStyle w:val="NormalWeb"/>
              <w:spacing w:before="0" w:beforeAutospacing="0" w:after="0" w:afterAutospacing="0" w:line="260" w:lineRule="atLeast"/>
              <w:rPr>
                <w:sz w:val="22"/>
                <w:szCs w:val="22"/>
              </w:rPr>
            </w:pPr>
            <w:r>
              <w:rPr>
                <w:sz w:val="22"/>
                <w:szCs w:val="22"/>
              </w:rPr>
              <w:t> </w:t>
            </w:r>
          </w:p>
        </w:tc>
      </w:tr>
      <w:tr w:rsidR="00000000" w14:paraId="57FE54A6"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7C0BA95" w14:textId="77777777" w:rsidR="002B02D6" w:rsidRDefault="002B02D6">
            <w:pPr>
              <w:pStyle w:val="NormalWeb"/>
              <w:spacing w:before="0" w:beforeAutospacing="0" w:after="0" w:afterAutospacing="0"/>
              <w:rPr>
                <w:sz w:val="22"/>
                <w:szCs w:val="22"/>
              </w:rPr>
            </w:pPr>
            <w:r>
              <w:rPr>
                <w:rStyle w:val="normaltextrun"/>
                <w:color w:val="000000"/>
                <w:sz w:val="20"/>
                <w:szCs w:val="20"/>
                <w:shd w:val="clear" w:color="auto" w:fill="FFFFFF"/>
              </w:rPr>
              <w:t>Musculoskeletal and connective tissue disorders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07C2A752" w14:textId="77777777" w:rsidR="002B02D6" w:rsidRDefault="002B02D6">
            <w:pPr>
              <w:pStyle w:val="NormalWeb"/>
              <w:spacing w:before="0" w:beforeAutospacing="0" w:after="0" w:afterAutospacing="0" w:line="260" w:lineRule="atLeast"/>
              <w:rPr>
                <w:sz w:val="22"/>
                <w:szCs w:val="22"/>
              </w:rPr>
            </w:pPr>
            <w:r>
              <w:rPr>
                <w:sz w:val="20"/>
                <w:szCs w:val="20"/>
              </w:rPr>
              <w:t>Myalgia</w:t>
            </w:r>
            <w:r>
              <w:rPr>
                <w:sz w:val="20"/>
                <w:szCs w:val="20"/>
                <w:vertAlign w:val="superscript"/>
              </w:rPr>
              <w:t>a</w:t>
            </w:r>
          </w:p>
          <w:p w14:paraId="5199A950" w14:textId="77777777" w:rsidR="002B02D6" w:rsidRDefault="002B02D6">
            <w:pPr>
              <w:pStyle w:val="NormalWeb"/>
              <w:spacing w:before="0" w:beforeAutospacing="0" w:after="0" w:afterAutospacing="0" w:line="260" w:lineRule="atLeast"/>
              <w:rPr>
                <w:sz w:val="22"/>
                <w:szCs w:val="22"/>
              </w:rPr>
            </w:pPr>
            <w:r>
              <w:rPr>
                <w:sz w:val="20"/>
                <w:szCs w:val="20"/>
              </w:rPr>
              <w:t>Arthralgia</w:t>
            </w:r>
            <w:r>
              <w:rPr>
                <w:sz w:val="20"/>
                <w:szCs w:val="20"/>
                <w:vertAlign w:val="superscript"/>
              </w:rPr>
              <w:t>a</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0F014891"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3F49A8BC"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07DB07C5" w14:textId="77777777" w:rsidR="002B02D6" w:rsidRDefault="002B02D6">
            <w:pPr>
              <w:pStyle w:val="NormalWeb"/>
              <w:spacing w:before="0" w:beforeAutospacing="0" w:after="0" w:afterAutospacing="0"/>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78C5D160" w14:textId="77777777" w:rsidR="002B02D6" w:rsidRDefault="002B02D6">
            <w:pPr>
              <w:pStyle w:val="NormalWeb"/>
              <w:spacing w:before="0" w:beforeAutospacing="0" w:after="0" w:afterAutospacing="0"/>
              <w:rPr>
                <w:sz w:val="22"/>
                <w:szCs w:val="22"/>
              </w:rPr>
            </w:pPr>
            <w:r>
              <w:rPr>
                <w:sz w:val="22"/>
                <w:szCs w:val="22"/>
              </w:rPr>
              <w:t> </w:t>
            </w:r>
          </w:p>
        </w:tc>
      </w:tr>
      <w:tr w:rsidR="00000000" w14:paraId="45B2BAAB" w14:textId="77777777">
        <w:trPr>
          <w:divId w:val="1404909579"/>
        </w:trPr>
        <w:tc>
          <w:tcPr>
            <w:tcW w:w="170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302390C" w14:textId="77777777" w:rsidR="002B02D6" w:rsidRDefault="002B02D6">
            <w:pPr>
              <w:pStyle w:val="NormalWeb"/>
              <w:spacing w:before="0" w:beforeAutospacing="0" w:after="0" w:afterAutospacing="0"/>
              <w:rPr>
                <w:sz w:val="22"/>
                <w:szCs w:val="22"/>
              </w:rPr>
            </w:pPr>
            <w:r>
              <w:rPr>
                <w:rStyle w:val="normaltextrun"/>
                <w:sz w:val="20"/>
                <w:szCs w:val="20"/>
              </w:rPr>
              <w:t>General disorders and administration site conditions</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17536BE9" w14:textId="77777777" w:rsidR="002B02D6" w:rsidRDefault="002B02D6">
            <w:pPr>
              <w:pStyle w:val="NormalWeb"/>
              <w:spacing w:before="0" w:beforeAutospacing="0" w:after="0" w:afterAutospacing="0" w:line="260" w:lineRule="atLeast"/>
              <w:rPr>
                <w:sz w:val="22"/>
                <w:szCs w:val="22"/>
              </w:rPr>
            </w:pPr>
            <w:r>
              <w:rPr>
                <w:sz w:val="20"/>
                <w:szCs w:val="20"/>
              </w:rPr>
              <w:t>Injection site tenderness</w:t>
            </w:r>
            <w:r>
              <w:rPr>
                <w:sz w:val="20"/>
                <w:szCs w:val="20"/>
                <w:vertAlign w:val="superscript"/>
              </w:rPr>
              <w:t>a</w:t>
            </w:r>
          </w:p>
          <w:p w14:paraId="765F885B" w14:textId="77777777" w:rsidR="002B02D6" w:rsidRDefault="002B02D6">
            <w:pPr>
              <w:pStyle w:val="NormalWeb"/>
              <w:spacing w:before="0" w:beforeAutospacing="0" w:after="0" w:afterAutospacing="0" w:line="260" w:lineRule="atLeast"/>
              <w:rPr>
                <w:sz w:val="22"/>
                <w:szCs w:val="22"/>
              </w:rPr>
            </w:pPr>
            <w:r>
              <w:rPr>
                <w:sz w:val="20"/>
                <w:szCs w:val="20"/>
              </w:rPr>
              <w:t>Injection site pain</w:t>
            </w:r>
            <w:r>
              <w:rPr>
                <w:sz w:val="20"/>
                <w:szCs w:val="20"/>
                <w:vertAlign w:val="superscript"/>
              </w:rPr>
              <w:t>a</w:t>
            </w:r>
          </w:p>
          <w:p w14:paraId="49FF0C89" w14:textId="77777777" w:rsidR="002B02D6" w:rsidRDefault="002B02D6">
            <w:pPr>
              <w:pStyle w:val="NormalWeb"/>
              <w:spacing w:before="0" w:beforeAutospacing="0" w:after="0" w:afterAutospacing="0" w:line="260" w:lineRule="atLeast"/>
              <w:rPr>
                <w:sz w:val="22"/>
                <w:szCs w:val="22"/>
              </w:rPr>
            </w:pPr>
            <w:r>
              <w:rPr>
                <w:sz w:val="20"/>
                <w:szCs w:val="20"/>
              </w:rPr>
              <w:t>Fatigue</w:t>
            </w:r>
            <w:r>
              <w:rPr>
                <w:sz w:val="20"/>
                <w:szCs w:val="20"/>
                <w:vertAlign w:val="superscript"/>
              </w:rPr>
              <w:t>a</w:t>
            </w:r>
            <w:r>
              <w:rPr>
                <w:sz w:val="20"/>
                <w:szCs w:val="20"/>
              </w:rPr>
              <w:t xml:space="preserve"> </w:t>
            </w:r>
          </w:p>
          <w:p w14:paraId="5890B8D0" w14:textId="77777777" w:rsidR="002B02D6" w:rsidRDefault="002B02D6">
            <w:pPr>
              <w:pStyle w:val="NormalWeb"/>
              <w:spacing w:before="0" w:beforeAutospacing="0" w:after="0" w:afterAutospacing="0"/>
              <w:rPr>
                <w:sz w:val="22"/>
                <w:szCs w:val="22"/>
              </w:rPr>
            </w:pPr>
            <w:r>
              <w:rPr>
                <w:sz w:val="20"/>
                <w:szCs w:val="20"/>
              </w:rPr>
              <w:t>Malaise</w:t>
            </w:r>
            <w:r>
              <w:rPr>
                <w:sz w:val="20"/>
                <w:szCs w:val="20"/>
                <w:vertAlign w:val="superscript"/>
              </w:rPr>
              <w:t>a,b</w:t>
            </w:r>
          </w:p>
        </w:tc>
        <w:tc>
          <w:tcPr>
            <w:tcW w:w="1440" w:type="dxa"/>
            <w:tcBorders>
              <w:top w:val="nil"/>
              <w:left w:val="nil"/>
              <w:bottom w:val="single" w:sz="8" w:space="0" w:color="000000"/>
              <w:right w:val="single" w:sz="8" w:space="0" w:color="000000"/>
            </w:tcBorders>
            <w:tcMar>
              <w:top w:w="0" w:type="dxa"/>
              <w:left w:w="108" w:type="dxa"/>
              <w:bottom w:w="0" w:type="dxa"/>
              <w:right w:w="108" w:type="dxa"/>
            </w:tcMar>
            <w:hideMark/>
          </w:tcPr>
          <w:p w14:paraId="430EE39F" w14:textId="77777777" w:rsidR="002B02D6" w:rsidRDefault="002B02D6">
            <w:pPr>
              <w:pStyle w:val="NormalWeb"/>
              <w:spacing w:before="0" w:beforeAutospacing="0" w:after="0" w:afterAutospacing="0" w:line="260" w:lineRule="atLeast"/>
              <w:rPr>
                <w:sz w:val="22"/>
                <w:szCs w:val="22"/>
              </w:rPr>
            </w:pPr>
            <w:r>
              <w:rPr>
                <w:sz w:val="20"/>
                <w:szCs w:val="20"/>
              </w:rPr>
              <w:t>Injection site redness</w:t>
            </w:r>
            <w:r>
              <w:rPr>
                <w:sz w:val="20"/>
                <w:szCs w:val="20"/>
                <w:vertAlign w:val="superscript"/>
              </w:rPr>
              <w:t>a,c</w:t>
            </w:r>
          </w:p>
          <w:p w14:paraId="2D3F1F5B" w14:textId="77777777" w:rsidR="002B02D6" w:rsidRDefault="002B02D6">
            <w:pPr>
              <w:pStyle w:val="NormalWeb"/>
              <w:spacing w:before="0" w:beforeAutospacing="0" w:after="0" w:afterAutospacing="0" w:line="260" w:lineRule="atLeast"/>
              <w:rPr>
                <w:sz w:val="22"/>
                <w:szCs w:val="22"/>
              </w:rPr>
            </w:pPr>
            <w:r>
              <w:rPr>
                <w:sz w:val="20"/>
                <w:szCs w:val="20"/>
              </w:rPr>
              <w:t>Injection site swelling</w:t>
            </w:r>
            <w:r>
              <w:rPr>
                <w:sz w:val="20"/>
                <w:szCs w:val="20"/>
                <w:vertAlign w:val="superscript"/>
              </w:rPr>
              <w:t>a</w:t>
            </w:r>
          </w:p>
          <w:p w14:paraId="69A2C2AB" w14:textId="77777777" w:rsidR="002B02D6" w:rsidRDefault="002B02D6">
            <w:pPr>
              <w:pStyle w:val="NormalWeb"/>
              <w:spacing w:before="0" w:beforeAutospacing="0" w:after="0" w:afterAutospacing="0" w:line="260" w:lineRule="atLeast"/>
              <w:rPr>
                <w:sz w:val="22"/>
                <w:szCs w:val="22"/>
              </w:rPr>
            </w:pPr>
            <w:r>
              <w:rPr>
                <w:sz w:val="20"/>
                <w:szCs w:val="20"/>
              </w:rPr>
              <w:t>Pyrexia</w:t>
            </w:r>
            <w:r>
              <w:rPr>
                <w:sz w:val="20"/>
                <w:szCs w:val="20"/>
                <w:vertAlign w:val="superscript"/>
              </w:rPr>
              <w:t>e</w:t>
            </w:r>
          </w:p>
          <w:p w14:paraId="24130772" w14:textId="77777777" w:rsidR="002B02D6" w:rsidRDefault="002B02D6">
            <w:pPr>
              <w:pStyle w:val="NormalWeb"/>
              <w:spacing w:before="0" w:beforeAutospacing="0" w:after="0" w:afterAutospacing="0"/>
              <w:rPr>
                <w:sz w:val="22"/>
                <w:szCs w:val="22"/>
              </w:rPr>
            </w:pPr>
            <w:r>
              <w:rPr>
                <w:sz w:val="20"/>
                <w:szCs w:val="20"/>
              </w:rPr>
              <w:t>Pain in extremity</w:t>
            </w:r>
          </w:p>
        </w:tc>
        <w:tc>
          <w:tcPr>
            <w:tcW w:w="1890" w:type="dxa"/>
            <w:tcBorders>
              <w:top w:val="nil"/>
              <w:left w:val="nil"/>
              <w:bottom w:val="single" w:sz="8" w:space="0" w:color="000000"/>
              <w:right w:val="single" w:sz="8" w:space="0" w:color="000000"/>
            </w:tcBorders>
            <w:tcMar>
              <w:top w:w="0" w:type="dxa"/>
              <w:left w:w="108" w:type="dxa"/>
              <w:bottom w:w="0" w:type="dxa"/>
              <w:right w:w="108" w:type="dxa"/>
            </w:tcMar>
            <w:hideMark/>
          </w:tcPr>
          <w:p w14:paraId="0911546B" w14:textId="77777777" w:rsidR="002B02D6" w:rsidRDefault="002B02D6">
            <w:pPr>
              <w:pStyle w:val="NormalWeb"/>
              <w:spacing w:before="0" w:beforeAutospacing="0" w:after="0" w:afterAutospacing="0" w:line="260" w:lineRule="atLeast"/>
              <w:rPr>
                <w:sz w:val="22"/>
                <w:szCs w:val="22"/>
              </w:rPr>
            </w:pPr>
            <w:r>
              <w:rPr>
                <w:sz w:val="20"/>
                <w:szCs w:val="20"/>
              </w:rPr>
              <w:t>Injection site pruritus</w:t>
            </w:r>
          </w:p>
          <w:p w14:paraId="78E04297" w14:textId="77777777" w:rsidR="002B02D6" w:rsidRDefault="002B02D6">
            <w:pPr>
              <w:pStyle w:val="NormalWeb"/>
              <w:spacing w:before="0" w:beforeAutospacing="0" w:after="0" w:afterAutospacing="0" w:line="260" w:lineRule="atLeast"/>
              <w:rPr>
                <w:sz w:val="22"/>
                <w:szCs w:val="22"/>
              </w:rPr>
            </w:pPr>
            <w:r>
              <w:rPr>
                <w:sz w:val="20"/>
                <w:szCs w:val="20"/>
              </w:rPr>
              <w:t>Chills</w:t>
            </w:r>
          </w:p>
          <w:p w14:paraId="4E67A420"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79103078" w14:textId="77777777" w:rsidR="002B02D6" w:rsidRDefault="002B02D6">
            <w:pPr>
              <w:pStyle w:val="NormalWeb"/>
              <w:spacing w:before="0" w:beforeAutospacing="0" w:after="0" w:afterAutospacing="0"/>
              <w:rPr>
                <w:sz w:val="22"/>
                <w:szCs w:val="22"/>
              </w:rPr>
            </w:pPr>
            <w:r>
              <w:rPr>
                <w:sz w:val="20"/>
                <w:szCs w:val="20"/>
              </w:rPr>
              <w:t>Injection site warmth</w:t>
            </w:r>
          </w:p>
          <w:p w14:paraId="7D206B6B" w14:textId="77777777" w:rsidR="002B02D6" w:rsidRDefault="002B02D6">
            <w:pPr>
              <w:pStyle w:val="NormalWeb"/>
              <w:spacing w:before="0" w:beforeAutospacing="0" w:after="0" w:afterAutospacing="0" w:line="260" w:lineRule="atLeast"/>
              <w:rPr>
                <w:sz w:val="22"/>
                <w:szCs w:val="22"/>
              </w:rPr>
            </w:pPr>
            <w:r>
              <w:rPr>
                <w:sz w:val="22"/>
                <w:szCs w:val="22"/>
              </w:rPr>
              <w:t> </w:t>
            </w:r>
          </w:p>
        </w:tc>
        <w:tc>
          <w:tcPr>
            <w:tcW w:w="1548" w:type="dxa"/>
            <w:tcBorders>
              <w:top w:val="nil"/>
              <w:left w:val="nil"/>
              <w:bottom w:val="single" w:sz="8" w:space="0" w:color="000000"/>
              <w:right w:val="single" w:sz="8" w:space="0" w:color="000000"/>
            </w:tcBorders>
            <w:tcMar>
              <w:top w:w="0" w:type="dxa"/>
              <w:left w:w="10" w:type="dxa"/>
              <w:bottom w:w="0" w:type="dxa"/>
              <w:right w:w="10" w:type="dxa"/>
            </w:tcMar>
            <w:hideMark/>
          </w:tcPr>
          <w:p w14:paraId="5FC5E36D" w14:textId="77777777" w:rsidR="002B02D6" w:rsidRDefault="002B02D6">
            <w:pPr>
              <w:pStyle w:val="NormalWeb"/>
              <w:spacing w:before="0" w:beforeAutospacing="0" w:after="0" w:afterAutospacing="0" w:line="260" w:lineRule="atLeast"/>
              <w:rPr>
                <w:sz w:val="22"/>
                <w:szCs w:val="22"/>
              </w:rPr>
            </w:pPr>
            <w:r>
              <w:rPr>
                <w:sz w:val="22"/>
                <w:szCs w:val="22"/>
              </w:rPr>
              <w:t> </w:t>
            </w:r>
          </w:p>
        </w:tc>
      </w:tr>
    </w:tbl>
    <w:p w14:paraId="74B00570" w14:textId="77777777" w:rsidR="002B02D6" w:rsidRDefault="002B02D6">
      <w:pPr>
        <w:pStyle w:val="NormalWeb"/>
        <w:spacing w:before="0" w:beforeAutospacing="0" w:after="0" w:afterAutospacing="0" w:line="260" w:lineRule="atLeast"/>
        <w:ind w:left="180" w:right="102" w:hanging="180"/>
        <w:divId w:val="1404909579"/>
        <w:rPr>
          <w:sz w:val="22"/>
          <w:szCs w:val="22"/>
        </w:rPr>
      </w:pPr>
      <w:r>
        <w:rPr>
          <w:sz w:val="18"/>
          <w:szCs w:val="18"/>
        </w:rPr>
        <w:t>a Higher frequencies of these events were observed after the second dose.</w:t>
      </w:r>
    </w:p>
    <w:p w14:paraId="1FCD994B" w14:textId="77777777" w:rsidR="002B02D6" w:rsidRDefault="002B02D6">
      <w:pPr>
        <w:pStyle w:val="NormalWeb"/>
        <w:spacing w:before="0" w:beforeAutospacing="0" w:after="0" w:afterAutospacing="0" w:line="260" w:lineRule="atLeast"/>
        <w:ind w:left="180" w:right="102" w:hanging="180"/>
        <w:divId w:val="1404909579"/>
        <w:rPr>
          <w:sz w:val="22"/>
          <w:szCs w:val="22"/>
        </w:rPr>
      </w:pPr>
      <w:r>
        <w:rPr>
          <w:sz w:val="18"/>
          <w:szCs w:val="18"/>
        </w:rPr>
        <w:t>b This term also included events reported as influenza-like illness.</w:t>
      </w:r>
    </w:p>
    <w:p w14:paraId="2D7E929C" w14:textId="77777777" w:rsidR="002B02D6" w:rsidRDefault="002B02D6">
      <w:pPr>
        <w:pStyle w:val="NormalWeb"/>
        <w:spacing w:before="0" w:beforeAutospacing="0" w:after="0" w:afterAutospacing="0" w:line="260" w:lineRule="atLeast"/>
        <w:ind w:left="180" w:right="102" w:hanging="180"/>
        <w:divId w:val="1404909579"/>
        <w:rPr>
          <w:sz w:val="22"/>
          <w:szCs w:val="22"/>
        </w:rPr>
      </w:pPr>
      <w:r>
        <w:rPr>
          <w:sz w:val="18"/>
          <w:szCs w:val="18"/>
        </w:rPr>
        <w:t>c </w:t>
      </w:r>
      <w:r>
        <w:rPr>
          <w:sz w:val="18"/>
          <w:szCs w:val="18"/>
        </w:rPr>
        <w:t>This term includes both injection site redness and injection site erythema (common).</w:t>
      </w:r>
    </w:p>
    <w:p w14:paraId="6BCB45A2" w14:textId="77777777" w:rsidR="002B02D6" w:rsidRDefault="002B02D6">
      <w:pPr>
        <w:pStyle w:val="NormalWeb"/>
        <w:spacing w:before="0" w:beforeAutospacing="0" w:after="0" w:afterAutospacing="0" w:line="260" w:lineRule="atLeast"/>
        <w:ind w:left="180" w:right="102" w:hanging="180"/>
        <w:divId w:val="1404909579"/>
        <w:rPr>
          <w:sz w:val="22"/>
          <w:szCs w:val="22"/>
        </w:rPr>
      </w:pPr>
      <w:r>
        <w:rPr>
          <w:sz w:val="18"/>
          <w:szCs w:val="18"/>
        </w:rPr>
        <w:t xml:space="preserve">d Hypertension was not reported in adolescents aged 12 through 17 years in the clinical study. </w:t>
      </w:r>
    </w:p>
    <w:p w14:paraId="703B4552" w14:textId="77777777" w:rsidR="002B02D6" w:rsidRDefault="002B02D6">
      <w:pPr>
        <w:pStyle w:val="NormalWeb"/>
        <w:spacing w:before="0" w:beforeAutospacing="0" w:after="0" w:afterAutospacing="0" w:line="260" w:lineRule="atLeast"/>
        <w:ind w:left="180" w:right="102" w:hanging="180"/>
        <w:divId w:val="1404909579"/>
        <w:rPr>
          <w:sz w:val="22"/>
          <w:szCs w:val="22"/>
        </w:rPr>
      </w:pPr>
      <w:r>
        <w:rPr>
          <w:sz w:val="18"/>
          <w:szCs w:val="18"/>
        </w:rPr>
        <w:t xml:space="preserve">e Pyrexia was observed more frequently in adolescents aged 12 through 17 years compared to adults, with the frequency being very common after the second dose in adolescents. </w:t>
      </w:r>
    </w:p>
    <w:p w14:paraId="2CDF432A" w14:textId="77777777" w:rsidR="002B02D6" w:rsidRDefault="002B02D6">
      <w:pPr>
        <w:pStyle w:val="NormalWeb"/>
        <w:spacing w:before="0" w:beforeAutospacing="0" w:after="0" w:afterAutospacing="0" w:line="260" w:lineRule="atLeast"/>
        <w:ind w:left="180" w:right="102" w:hanging="180"/>
        <w:divId w:val="1404909579"/>
        <w:rPr>
          <w:sz w:val="22"/>
          <w:szCs w:val="22"/>
        </w:rPr>
      </w:pPr>
      <w:r>
        <w:rPr>
          <w:sz w:val="22"/>
          <w:szCs w:val="22"/>
        </w:rPr>
        <w:t> </w:t>
      </w:r>
    </w:p>
    <w:p w14:paraId="0C207D26" w14:textId="77777777" w:rsidR="002B02D6" w:rsidRDefault="002B02D6">
      <w:pPr>
        <w:pStyle w:val="NormalWeb"/>
        <w:spacing w:before="0" w:beforeAutospacing="0" w:after="0" w:afterAutospacing="0" w:line="260" w:lineRule="atLeast"/>
        <w:ind w:right="102"/>
        <w:divId w:val="1404909579"/>
        <w:rPr>
          <w:sz w:val="22"/>
          <w:szCs w:val="22"/>
        </w:rPr>
      </w:pPr>
      <w:r>
        <w:rPr>
          <w:sz w:val="22"/>
          <w:szCs w:val="22"/>
          <w:u w:val="single"/>
        </w:rPr>
        <w:t>Description of selected adverse reactions</w:t>
      </w:r>
    </w:p>
    <w:p w14:paraId="556DDAF1" w14:textId="77777777" w:rsidR="002B02D6" w:rsidRDefault="002B02D6">
      <w:pPr>
        <w:pStyle w:val="NormalWeb"/>
        <w:spacing w:before="0" w:beforeAutospacing="0" w:after="0" w:afterAutospacing="0" w:line="260" w:lineRule="atLeast"/>
        <w:ind w:right="102"/>
        <w:divId w:val="1404909579"/>
        <w:rPr>
          <w:sz w:val="22"/>
          <w:szCs w:val="22"/>
        </w:rPr>
      </w:pPr>
      <w:r>
        <w:rPr>
          <w:sz w:val="22"/>
          <w:szCs w:val="22"/>
        </w:rPr>
        <w:t> </w:t>
      </w:r>
    </w:p>
    <w:p w14:paraId="72753BF8" w14:textId="77777777" w:rsidR="002B02D6" w:rsidRDefault="002B02D6">
      <w:pPr>
        <w:pStyle w:val="NormalWeb"/>
        <w:spacing w:before="0" w:beforeAutospacing="0" w:after="0" w:afterAutospacing="0" w:line="260" w:lineRule="atLeast"/>
        <w:ind w:right="102"/>
        <w:divId w:val="1404909579"/>
        <w:rPr>
          <w:sz w:val="22"/>
          <w:szCs w:val="22"/>
        </w:rPr>
      </w:pPr>
      <w:r>
        <w:rPr>
          <w:sz w:val="22"/>
          <w:szCs w:val="22"/>
        </w:rPr>
        <w:t>Throughout the clinical trials, an increased incidence of hypertension following vaccination with Nuvaxovid (n=46, 1.0%) as compared to placebo (n=22, 0.6%) was observed in older adults during the 3 days following vaccination.</w:t>
      </w:r>
    </w:p>
    <w:p w14:paraId="168A92EE" w14:textId="77777777" w:rsidR="002B02D6" w:rsidRDefault="002B02D6">
      <w:pPr>
        <w:pStyle w:val="NormalWeb"/>
        <w:spacing w:before="0" w:beforeAutospacing="0" w:after="0" w:afterAutospacing="0"/>
        <w:divId w:val="1404909579"/>
        <w:rPr>
          <w:sz w:val="22"/>
          <w:szCs w:val="22"/>
        </w:rPr>
      </w:pPr>
      <w:r>
        <w:rPr>
          <w:sz w:val="22"/>
          <w:szCs w:val="22"/>
        </w:rPr>
        <w:t> </w:t>
      </w:r>
    </w:p>
    <w:p w14:paraId="5D337546" w14:textId="77777777" w:rsidR="002B02D6" w:rsidRDefault="002B02D6">
      <w:pPr>
        <w:pStyle w:val="NormalWeb"/>
      </w:pPr>
      <w:r>
        <w:t>Reporting of suspected adverse reactions</w:t>
      </w:r>
    </w:p>
    <w:p w14:paraId="1A26DCD8" w14:textId="77777777" w:rsidR="002B02D6" w:rsidRDefault="002B02D6">
      <w:pPr>
        <w:pStyle w:val="NormalWeb"/>
        <w:divId w:val="395082885"/>
      </w:pPr>
      <w:r>
        <w:t> </w:t>
      </w:r>
    </w:p>
    <w:p w14:paraId="5FF2F8D9" w14:textId="77777777" w:rsidR="002B02D6" w:rsidRDefault="002B02D6">
      <w:pPr>
        <w:pStyle w:val="NormalWeb"/>
        <w:spacing w:before="0" w:beforeAutospacing="0" w:after="0" w:afterAutospacing="0"/>
        <w:divId w:val="395082885"/>
        <w:rPr>
          <w:sz w:val="22"/>
          <w:szCs w:val="22"/>
        </w:rPr>
      </w:pPr>
      <w:r>
        <w:rPr>
          <w:sz w:val="22"/>
          <w:szCs w:val="22"/>
        </w:rPr>
        <w:t xml:space="preserve">Reporting suspected adverse reactions after authorisation of the medicinal product is important. It allows continued monitoring of the benefit/risk balance of the medicinal product. Healthcare professionals are asked to report any suspected adverse reactions via </w:t>
      </w:r>
      <w:r>
        <w:rPr>
          <w:color w:val="000000"/>
          <w:sz w:val="22"/>
          <w:szCs w:val="22"/>
          <w:shd w:val="clear" w:color="auto" w:fill="D3D3D3"/>
        </w:rPr>
        <w:t xml:space="preserve">the national reporting system listed in </w:t>
      </w:r>
      <w:hyperlink r:id="rId5" w:history="1">
        <w:r>
          <w:rPr>
            <w:rStyle w:val="Hyperlink"/>
            <w:sz w:val="22"/>
            <w:szCs w:val="22"/>
            <w:shd w:val="clear" w:color="auto" w:fill="D3D3D3"/>
          </w:rPr>
          <w:t>Appendix V</w:t>
        </w:r>
      </w:hyperlink>
      <w:r>
        <w:rPr>
          <w:sz w:val="22"/>
          <w:szCs w:val="22"/>
        </w:rPr>
        <w:t xml:space="preserve"> and include batch/Lot number if available.</w:t>
      </w:r>
    </w:p>
    <w:p w14:paraId="07418762" w14:textId="77777777" w:rsidR="002B02D6" w:rsidRDefault="002B02D6">
      <w:pPr>
        <w:pStyle w:val="NormalWeb"/>
      </w:pPr>
      <w:r>
        <w:t>4.9 Overdose</w:t>
      </w:r>
    </w:p>
    <w:p w14:paraId="77F37950" w14:textId="77777777" w:rsidR="002B02D6" w:rsidRDefault="002B02D6">
      <w:pPr>
        <w:pStyle w:val="NormalWeb"/>
        <w:divId w:val="839658214"/>
      </w:pPr>
      <w:r>
        <w:t> </w:t>
      </w:r>
    </w:p>
    <w:p w14:paraId="5281F38A" w14:textId="77777777" w:rsidR="002B02D6" w:rsidRDefault="002B02D6">
      <w:pPr>
        <w:pStyle w:val="NormalWeb"/>
        <w:spacing w:before="0" w:beforeAutospacing="0" w:after="0" w:afterAutospacing="0"/>
        <w:divId w:val="839658214"/>
        <w:rPr>
          <w:sz w:val="22"/>
          <w:szCs w:val="22"/>
        </w:rPr>
      </w:pPr>
      <w:r>
        <w:rPr>
          <w:sz w:val="22"/>
          <w:szCs w:val="22"/>
        </w:rPr>
        <w:t>No case of overdose has been reported. In the event of an overdose, monitoring of vital functions and possible symptomatic treatment is recommended.</w:t>
      </w:r>
    </w:p>
    <w:p w14:paraId="5E68CA2D" w14:textId="77777777" w:rsidR="002B02D6" w:rsidRDefault="002B02D6">
      <w:pPr>
        <w:pStyle w:val="NormalWeb"/>
        <w:spacing w:before="0" w:beforeAutospacing="0" w:after="0" w:afterAutospacing="0"/>
        <w:divId w:val="839658214"/>
        <w:rPr>
          <w:sz w:val="22"/>
          <w:szCs w:val="22"/>
        </w:rPr>
      </w:pPr>
      <w:r>
        <w:rPr>
          <w:sz w:val="22"/>
          <w:szCs w:val="22"/>
        </w:rPr>
        <w:t> </w:t>
      </w:r>
    </w:p>
    <w:p w14:paraId="75210067" w14:textId="77777777" w:rsidR="002B02D6" w:rsidRDefault="002B02D6">
      <w:pPr>
        <w:pStyle w:val="NormalWeb"/>
      </w:pPr>
      <w:r>
        <w:t>5. PHARMACOLOGICAL PROPERTIES</w:t>
      </w:r>
    </w:p>
    <w:p w14:paraId="0E196A61" w14:textId="77777777" w:rsidR="002B02D6" w:rsidRDefault="002B02D6">
      <w:pPr>
        <w:divId w:val="1312254401"/>
        <w:rPr>
          <w:rFonts w:eastAsia="Times New Roman"/>
        </w:rPr>
      </w:pPr>
      <w:r>
        <w:rPr>
          <w:rFonts w:eastAsia="Times New Roman"/>
        </w:rPr>
        <w:t> </w:t>
      </w:r>
    </w:p>
    <w:p w14:paraId="0012C191" w14:textId="77777777" w:rsidR="002B02D6" w:rsidRDefault="002B02D6">
      <w:pPr>
        <w:pStyle w:val="NormalWeb"/>
      </w:pPr>
      <w:r>
        <w:t>5.1 Pharmacodynamic properties</w:t>
      </w:r>
    </w:p>
    <w:p w14:paraId="6A987F3C" w14:textId="77777777" w:rsidR="002B02D6" w:rsidRDefault="002B02D6">
      <w:pPr>
        <w:pStyle w:val="NormalWeb"/>
        <w:divId w:val="1888711994"/>
      </w:pPr>
      <w:r>
        <w:t> </w:t>
      </w:r>
    </w:p>
    <w:p w14:paraId="77561D67" w14:textId="77777777" w:rsidR="002B02D6" w:rsidRDefault="002B02D6">
      <w:pPr>
        <w:pStyle w:val="NormalWeb"/>
        <w:spacing w:before="0" w:beforeAutospacing="0" w:after="0" w:afterAutospacing="0" w:line="260" w:lineRule="atLeast"/>
        <w:divId w:val="1888711994"/>
        <w:rPr>
          <w:sz w:val="22"/>
          <w:szCs w:val="22"/>
        </w:rPr>
      </w:pPr>
      <w:r>
        <w:rPr>
          <w:sz w:val="22"/>
          <w:szCs w:val="22"/>
        </w:rPr>
        <w:t>Pharmacotherapeutic group: Vaccine, protein subunit, ATC code: J07BN04</w:t>
      </w:r>
    </w:p>
    <w:p w14:paraId="3DB2E284" w14:textId="77777777" w:rsidR="002B02D6" w:rsidRDefault="002B02D6">
      <w:pPr>
        <w:pStyle w:val="NormalWeb"/>
        <w:spacing w:before="0" w:beforeAutospacing="0" w:after="0" w:afterAutospacing="0" w:line="260" w:lineRule="atLeast"/>
        <w:divId w:val="1888711994"/>
        <w:rPr>
          <w:sz w:val="22"/>
          <w:szCs w:val="22"/>
        </w:rPr>
      </w:pPr>
      <w:r>
        <w:rPr>
          <w:sz w:val="22"/>
          <w:szCs w:val="22"/>
        </w:rPr>
        <w:t> </w:t>
      </w:r>
    </w:p>
    <w:p w14:paraId="12A8C396" w14:textId="77777777" w:rsidR="002B02D6" w:rsidRDefault="002B02D6">
      <w:pPr>
        <w:pStyle w:val="NormalWeb"/>
        <w:spacing w:before="0" w:beforeAutospacing="0" w:after="0" w:afterAutospacing="0"/>
        <w:divId w:val="1888711994"/>
        <w:rPr>
          <w:sz w:val="22"/>
          <w:szCs w:val="22"/>
        </w:rPr>
      </w:pPr>
      <w:r>
        <w:rPr>
          <w:sz w:val="22"/>
          <w:szCs w:val="22"/>
          <w:u w:val="single"/>
        </w:rPr>
        <w:t>Mechanism of action</w:t>
      </w:r>
    </w:p>
    <w:p w14:paraId="6F641EF7" w14:textId="77777777" w:rsidR="002B02D6" w:rsidRDefault="002B02D6">
      <w:pPr>
        <w:pStyle w:val="NormalWeb"/>
        <w:spacing w:before="0" w:beforeAutospacing="0" w:after="0" w:afterAutospacing="0"/>
        <w:divId w:val="1888711994"/>
        <w:rPr>
          <w:sz w:val="22"/>
          <w:szCs w:val="22"/>
        </w:rPr>
      </w:pPr>
      <w:r>
        <w:rPr>
          <w:sz w:val="22"/>
          <w:szCs w:val="22"/>
        </w:rPr>
        <w:t> </w:t>
      </w:r>
    </w:p>
    <w:p w14:paraId="6F04E2E3" w14:textId="77777777" w:rsidR="002B02D6" w:rsidRDefault="002B02D6">
      <w:pPr>
        <w:pStyle w:val="NormalWeb"/>
        <w:spacing w:before="0" w:beforeAutospacing="0" w:after="0" w:afterAutospacing="0" w:line="260" w:lineRule="atLeast"/>
        <w:divId w:val="1888711994"/>
        <w:rPr>
          <w:sz w:val="22"/>
          <w:szCs w:val="22"/>
        </w:rPr>
      </w:pPr>
      <w:r>
        <w:rPr>
          <w:sz w:val="22"/>
          <w:szCs w:val="22"/>
        </w:rPr>
        <w:t>Nuvaxovid is composed of purified full-length SARS-CoV-2 recombinant spike (S) protein that is stabilised in its prefusion conformation. The addition of the saponin-based Matrix-M adjuvant facilitates activation of the cells of the innate immune system, which enhances the magnitude of the S protein-specific immune response.</w:t>
      </w:r>
      <w:r>
        <w:rPr>
          <w:color w:val="000000"/>
          <w:sz w:val="22"/>
          <w:szCs w:val="22"/>
          <w:shd w:val="clear" w:color="auto" w:fill="FFFFFF"/>
        </w:rPr>
        <w:t xml:space="preserve"> </w:t>
      </w:r>
      <w:r>
        <w:rPr>
          <w:sz w:val="22"/>
          <w:szCs w:val="22"/>
        </w:rPr>
        <w:t xml:space="preserve">The two vaccine </w:t>
      </w:r>
      <w:r>
        <w:rPr>
          <w:color w:val="000000"/>
          <w:sz w:val="22"/>
          <w:szCs w:val="22"/>
          <w:shd w:val="clear" w:color="auto" w:fill="FFFFFF"/>
        </w:rPr>
        <w:t>components elicit B- and T-cell immune responses to the S protein, including neutralising antibodies, which may contribute to protection against COVID-19.</w:t>
      </w:r>
    </w:p>
    <w:p w14:paraId="298113BB" w14:textId="77777777" w:rsidR="002B02D6" w:rsidRDefault="002B02D6">
      <w:pPr>
        <w:pStyle w:val="NormalWeb"/>
        <w:spacing w:before="0" w:beforeAutospacing="0" w:after="0" w:afterAutospacing="0"/>
        <w:divId w:val="1888711994"/>
        <w:rPr>
          <w:sz w:val="22"/>
          <w:szCs w:val="22"/>
        </w:rPr>
      </w:pPr>
      <w:r>
        <w:rPr>
          <w:sz w:val="22"/>
          <w:szCs w:val="22"/>
        </w:rPr>
        <w:t> </w:t>
      </w:r>
    </w:p>
    <w:p w14:paraId="57DEAAC0" w14:textId="77777777" w:rsidR="002B02D6" w:rsidRDefault="002B02D6">
      <w:pPr>
        <w:pStyle w:val="NormalWeb"/>
        <w:spacing w:before="0" w:beforeAutospacing="0" w:after="0" w:afterAutospacing="0"/>
        <w:divId w:val="1888711994"/>
        <w:rPr>
          <w:sz w:val="22"/>
          <w:szCs w:val="22"/>
        </w:rPr>
      </w:pPr>
      <w:r>
        <w:rPr>
          <w:sz w:val="22"/>
          <w:szCs w:val="22"/>
          <w:u w:val="single"/>
        </w:rPr>
        <w:t>Clinical efficacy</w:t>
      </w:r>
    </w:p>
    <w:p w14:paraId="14495BF9" w14:textId="77777777" w:rsidR="002B02D6" w:rsidRDefault="002B02D6">
      <w:pPr>
        <w:pStyle w:val="NormalWeb"/>
        <w:spacing w:before="0" w:beforeAutospacing="0" w:after="0" w:afterAutospacing="0"/>
        <w:divId w:val="1888711994"/>
        <w:rPr>
          <w:sz w:val="22"/>
          <w:szCs w:val="22"/>
        </w:rPr>
      </w:pPr>
      <w:r>
        <w:rPr>
          <w:rStyle w:val="Emphasis"/>
          <w:b/>
          <w:bCs/>
          <w:sz w:val="22"/>
          <w:szCs w:val="22"/>
        </w:rPr>
        <w:t> </w:t>
      </w:r>
    </w:p>
    <w:p w14:paraId="5D5A193A" w14:textId="77777777" w:rsidR="002B02D6" w:rsidRDefault="002B02D6">
      <w:pPr>
        <w:pStyle w:val="NormalWeb"/>
        <w:spacing w:before="0" w:beforeAutospacing="0" w:after="0" w:afterAutospacing="0"/>
        <w:divId w:val="1888711994"/>
        <w:rPr>
          <w:sz w:val="22"/>
          <w:szCs w:val="22"/>
        </w:rPr>
      </w:pPr>
      <w:r>
        <w:rPr>
          <w:sz w:val="22"/>
          <w:szCs w:val="22"/>
          <w:u w:val="single"/>
        </w:rPr>
        <w:t>Primary series</w:t>
      </w:r>
    </w:p>
    <w:p w14:paraId="6486A1A1" w14:textId="77777777" w:rsidR="002B02D6" w:rsidRDefault="002B02D6">
      <w:pPr>
        <w:pStyle w:val="NormalWeb"/>
        <w:spacing w:before="0" w:beforeAutospacing="0" w:after="0" w:afterAutospacing="0"/>
        <w:divId w:val="1888711994"/>
        <w:rPr>
          <w:sz w:val="22"/>
          <w:szCs w:val="22"/>
        </w:rPr>
      </w:pPr>
      <w:r>
        <w:rPr>
          <w:rStyle w:val="Emphasis"/>
          <w:b/>
          <w:bCs/>
          <w:sz w:val="22"/>
          <w:szCs w:val="22"/>
        </w:rPr>
        <w:t> </w:t>
      </w:r>
    </w:p>
    <w:p w14:paraId="1BF39C58" w14:textId="77777777" w:rsidR="002B02D6" w:rsidRDefault="002B02D6">
      <w:pPr>
        <w:pStyle w:val="NormalWeb"/>
        <w:spacing w:before="0" w:beforeAutospacing="0" w:after="0" w:afterAutospacing="0"/>
        <w:divId w:val="1888711994"/>
        <w:rPr>
          <w:sz w:val="22"/>
          <w:szCs w:val="22"/>
        </w:rPr>
      </w:pPr>
      <w:r>
        <w:rPr>
          <w:sz w:val="22"/>
          <w:szCs w:val="22"/>
        </w:rPr>
        <w:t xml:space="preserve">The clinical efficacy, safety, and immunogenicity of Nuvaxovid is being evaluated in two pivotal, placebo-controlled, Phase 3 studies, Study 1 (2019nCoV-301) conducted in North America and Study 2 (2019nCoV-302) conducted in the United Kingdom, and a </w:t>
      </w:r>
      <w:r>
        <w:rPr>
          <w:rStyle w:val="normaltextrun"/>
          <w:sz w:val="22"/>
          <w:szCs w:val="22"/>
        </w:rPr>
        <w:t>Phase 2a/b study, Study 3, conducted in South Africa</w:t>
      </w:r>
      <w:r>
        <w:rPr>
          <w:sz w:val="22"/>
          <w:szCs w:val="22"/>
        </w:rPr>
        <w:t>.</w:t>
      </w:r>
    </w:p>
    <w:p w14:paraId="6BC1A34C" w14:textId="77777777" w:rsidR="002B02D6" w:rsidRDefault="002B02D6">
      <w:pPr>
        <w:pStyle w:val="NormalWeb"/>
        <w:spacing w:before="0" w:beforeAutospacing="0" w:after="0" w:afterAutospacing="0"/>
        <w:divId w:val="1888711994"/>
        <w:rPr>
          <w:sz w:val="22"/>
          <w:szCs w:val="22"/>
        </w:rPr>
      </w:pPr>
      <w:r>
        <w:rPr>
          <w:sz w:val="22"/>
          <w:szCs w:val="22"/>
        </w:rPr>
        <w:t> </w:t>
      </w:r>
    </w:p>
    <w:p w14:paraId="7EA297D0" w14:textId="77777777" w:rsidR="002B02D6" w:rsidRDefault="002B02D6">
      <w:pPr>
        <w:pStyle w:val="NormalWeb"/>
        <w:spacing w:before="0" w:beforeAutospacing="0" w:after="0" w:afterAutospacing="0"/>
        <w:divId w:val="1888711994"/>
        <w:rPr>
          <w:sz w:val="22"/>
          <w:szCs w:val="22"/>
        </w:rPr>
      </w:pPr>
      <w:r>
        <w:rPr>
          <w:rStyle w:val="Emphasis"/>
          <w:sz w:val="22"/>
          <w:szCs w:val="22"/>
        </w:rPr>
        <w:t>Study</w:t>
      </w:r>
      <w:r>
        <w:rPr>
          <w:sz w:val="22"/>
          <w:szCs w:val="22"/>
        </w:rPr>
        <w:t> </w:t>
      </w:r>
      <w:r>
        <w:rPr>
          <w:rStyle w:val="Emphasis"/>
          <w:sz w:val="22"/>
          <w:szCs w:val="22"/>
        </w:rPr>
        <w:t xml:space="preserve">1 (2019nCoV-301) </w:t>
      </w:r>
    </w:p>
    <w:p w14:paraId="3EA6F47C" w14:textId="77777777" w:rsidR="002B02D6" w:rsidRDefault="002B02D6">
      <w:pPr>
        <w:pStyle w:val="NormalWeb"/>
        <w:spacing w:before="0" w:beforeAutospacing="0" w:after="0" w:afterAutospacing="0"/>
        <w:divId w:val="1888711994"/>
        <w:rPr>
          <w:sz w:val="22"/>
          <w:szCs w:val="22"/>
        </w:rPr>
      </w:pPr>
      <w:r>
        <w:rPr>
          <w:sz w:val="22"/>
          <w:szCs w:val="22"/>
        </w:rPr>
        <w:t>Study 1 is an ongoing Phase </w:t>
      </w:r>
      <w:r>
        <w:rPr>
          <w:sz w:val="22"/>
          <w:szCs w:val="22"/>
        </w:rPr>
        <w:t>3, multicentre, randomised, observer-blinded, placebo-controlled study with an adult main study conducted in participants 18 years of age and older in the United States and Mexico, and a paediatric expansion occurring in participants 12 through 17 years of age in the United States.</w:t>
      </w:r>
    </w:p>
    <w:p w14:paraId="25FDFE82" w14:textId="77777777" w:rsidR="002B02D6" w:rsidRDefault="002B02D6">
      <w:pPr>
        <w:pStyle w:val="NormalWeb"/>
        <w:spacing w:before="0" w:beforeAutospacing="0" w:after="0" w:afterAutospacing="0"/>
        <w:divId w:val="1888711994"/>
        <w:rPr>
          <w:sz w:val="22"/>
          <w:szCs w:val="22"/>
        </w:rPr>
      </w:pPr>
      <w:r>
        <w:rPr>
          <w:sz w:val="22"/>
          <w:szCs w:val="22"/>
        </w:rPr>
        <w:t> </w:t>
      </w:r>
    </w:p>
    <w:p w14:paraId="1C198351" w14:textId="77777777" w:rsidR="002B02D6" w:rsidRDefault="002B02D6">
      <w:pPr>
        <w:pStyle w:val="NormalWeb"/>
        <w:spacing w:before="0" w:beforeAutospacing="0" w:after="0" w:afterAutospacing="0"/>
        <w:divId w:val="1888711994"/>
        <w:rPr>
          <w:sz w:val="22"/>
          <w:szCs w:val="22"/>
        </w:rPr>
      </w:pPr>
      <w:r>
        <w:rPr>
          <w:rStyle w:val="Emphasis"/>
          <w:sz w:val="22"/>
          <w:szCs w:val="22"/>
        </w:rPr>
        <w:t>Participants 18</w:t>
      </w:r>
      <w:r>
        <w:rPr>
          <w:sz w:val="22"/>
          <w:szCs w:val="22"/>
        </w:rPr>
        <w:t> </w:t>
      </w:r>
      <w:r>
        <w:rPr>
          <w:rStyle w:val="Emphasis"/>
          <w:sz w:val="22"/>
          <w:szCs w:val="22"/>
        </w:rPr>
        <w:t xml:space="preserve">years of age and older </w:t>
      </w:r>
    </w:p>
    <w:p w14:paraId="19CF75D9" w14:textId="77777777" w:rsidR="002B02D6" w:rsidRDefault="002B02D6">
      <w:pPr>
        <w:pStyle w:val="NormalWeb"/>
        <w:spacing w:before="0" w:beforeAutospacing="0" w:after="0" w:afterAutospacing="0"/>
        <w:divId w:val="1888711994"/>
        <w:rPr>
          <w:sz w:val="22"/>
          <w:szCs w:val="22"/>
        </w:rPr>
      </w:pPr>
      <w:r>
        <w:rPr>
          <w:sz w:val="22"/>
          <w:szCs w:val="22"/>
        </w:rPr>
        <w:t>Upon enrolment in the adult main study, participants were stratified by age (18 to 64 years and ≥ </w:t>
      </w:r>
      <w:r>
        <w:rPr>
          <w:sz w:val="22"/>
          <w:szCs w:val="22"/>
        </w:rPr>
        <w:t>65 years) and assigned in a 2:1 ratio to receive Nuvaxovid or placebo. The study excluded participants who were significantly immunocompromised due to immunodeficiency disease; had active cancer on chemotherapy; received chronic immunosuppressive therapy or received immunoglobulin or blood-derived products within 90 </w:t>
      </w:r>
      <w:r>
        <w:rPr>
          <w:sz w:val="22"/>
          <w:szCs w:val="22"/>
        </w:rPr>
        <w:t>days; were pregnant or breastfeeding; or had a history of laboratory-confirmed diagnosed COVID-19. Participants with clinically stable underlying comorbidity were included as were participants with well-controlled HIV infection.</w:t>
      </w:r>
    </w:p>
    <w:p w14:paraId="46E8BAE2" w14:textId="77777777" w:rsidR="002B02D6" w:rsidRDefault="002B02D6">
      <w:pPr>
        <w:pStyle w:val="NormalWeb"/>
        <w:spacing w:before="0" w:beforeAutospacing="0" w:after="0" w:afterAutospacing="0"/>
        <w:divId w:val="1888711994"/>
        <w:rPr>
          <w:sz w:val="22"/>
          <w:szCs w:val="22"/>
        </w:rPr>
      </w:pPr>
      <w:r>
        <w:rPr>
          <w:sz w:val="22"/>
          <w:szCs w:val="22"/>
        </w:rPr>
        <w:t> </w:t>
      </w:r>
    </w:p>
    <w:p w14:paraId="69563AA7" w14:textId="77777777" w:rsidR="002B02D6" w:rsidRDefault="002B02D6">
      <w:pPr>
        <w:pStyle w:val="NormalWeb"/>
        <w:spacing w:before="0" w:beforeAutospacing="0" w:after="0" w:afterAutospacing="0"/>
        <w:divId w:val="1888711994"/>
        <w:rPr>
          <w:sz w:val="22"/>
          <w:szCs w:val="22"/>
        </w:rPr>
      </w:pPr>
      <w:r>
        <w:rPr>
          <w:sz w:val="22"/>
          <w:szCs w:val="22"/>
        </w:rPr>
        <w:t>Enrolment of adults completed in February 2021. Participants will be followed for up to 24 </w:t>
      </w:r>
      <w:r>
        <w:rPr>
          <w:sz w:val="22"/>
          <w:szCs w:val="22"/>
        </w:rPr>
        <w:t>months after the second dose for assessments of safety, and efficacy against COVID-19. Following collection of sufficient safety data to support application for emergency use authorisation, initial recipients of placebo were invited to receive two injections of Nuvaxovid 21 days apart and initial recipients of Nuvaxovid to receive two injections of placebo 21 days apart (“blinded crossover”). All participants were offered the opportunity to continue to be followed in the study.</w:t>
      </w:r>
    </w:p>
    <w:p w14:paraId="2C150E9B" w14:textId="77777777" w:rsidR="002B02D6" w:rsidRDefault="002B02D6">
      <w:pPr>
        <w:pStyle w:val="NormalWeb"/>
        <w:spacing w:before="0" w:beforeAutospacing="0" w:after="0" w:afterAutospacing="0"/>
        <w:divId w:val="1888711994"/>
        <w:rPr>
          <w:sz w:val="22"/>
          <w:szCs w:val="22"/>
        </w:rPr>
      </w:pPr>
      <w:r>
        <w:rPr>
          <w:sz w:val="22"/>
          <w:szCs w:val="22"/>
        </w:rPr>
        <w:t> </w:t>
      </w:r>
    </w:p>
    <w:p w14:paraId="3EDE2667" w14:textId="77777777" w:rsidR="002B02D6" w:rsidRDefault="002B02D6">
      <w:pPr>
        <w:pStyle w:val="NormalWeb"/>
        <w:spacing w:before="0" w:beforeAutospacing="0" w:after="0" w:afterAutospacing="0"/>
        <w:divId w:val="1888711994"/>
        <w:rPr>
          <w:sz w:val="22"/>
          <w:szCs w:val="22"/>
        </w:rPr>
      </w:pPr>
      <w:r>
        <w:rPr>
          <w:sz w:val="22"/>
          <w:szCs w:val="22"/>
        </w:rPr>
        <w:t>The primary efficacy analysis population (referred to as the Per-Protocol Efficacy [PP-EFF] analysis set) included 25,452</w:t>
      </w:r>
      <w:r>
        <w:rPr>
          <w:rStyle w:val="Strong"/>
          <w:sz w:val="20"/>
          <w:szCs w:val="20"/>
        </w:rPr>
        <w:t xml:space="preserve"> </w:t>
      </w:r>
      <w:r>
        <w:rPr>
          <w:sz w:val="22"/>
          <w:szCs w:val="22"/>
        </w:rPr>
        <w:t>participants who received either Nuvaxovid (n = 17,312) or placebo (n = 8,140), received two doses (Dose 1 on day 0; Dose 2 at day 21, median 21 days [IQR 21-23], range 14-60), did not experience an exclusionary protocol deviation, and did not have evidence of SARS-CoV-2 infection through 7 days after the second dose.</w:t>
      </w:r>
    </w:p>
    <w:p w14:paraId="6B740BF1" w14:textId="77777777" w:rsidR="002B02D6" w:rsidRDefault="002B02D6">
      <w:pPr>
        <w:pStyle w:val="NormalWeb"/>
        <w:spacing w:before="0" w:beforeAutospacing="0" w:after="0" w:afterAutospacing="0"/>
        <w:ind w:right="102"/>
        <w:divId w:val="1888711994"/>
        <w:rPr>
          <w:sz w:val="22"/>
          <w:szCs w:val="22"/>
        </w:rPr>
      </w:pPr>
      <w:r>
        <w:rPr>
          <w:sz w:val="22"/>
          <w:szCs w:val="22"/>
        </w:rPr>
        <w:t> </w:t>
      </w:r>
    </w:p>
    <w:p w14:paraId="5DFB042D" w14:textId="77777777" w:rsidR="002B02D6" w:rsidRDefault="002B02D6">
      <w:pPr>
        <w:pStyle w:val="NormalWeb"/>
        <w:spacing w:before="0" w:beforeAutospacing="0" w:after="0" w:afterAutospacing="0"/>
        <w:divId w:val="1888711994"/>
        <w:rPr>
          <w:sz w:val="22"/>
          <w:szCs w:val="22"/>
        </w:rPr>
      </w:pPr>
      <w:r>
        <w:rPr>
          <w:sz w:val="22"/>
          <w:szCs w:val="22"/>
        </w:rPr>
        <w:t>Demographic and baseline characteristics were balanced amongst participants who received Nuvaxovid and those who received placebo. In the PP-EFF analysis set for participants who received Nuvaxovid, the median age was 47 years (range: 18 to 95 years); 88% (n = 15,264) were 18 to 64 years old and 12% (n = </w:t>
      </w:r>
      <w:r>
        <w:rPr>
          <w:sz w:val="22"/>
          <w:szCs w:val="22"/>
        </w:rPr>
        <w:t>2,048) were aged 65 and older; 48% were female; 94% were from the United States and 6% were from Mexico; 76% were White, 11% were Black or African American, 6% were American Indian (including Native Americans) or Alaskan Native, and 4% were Asian; 22% were Hispanic or Latino. At least one pre-existing comorbidity or lifestyle characteristic associated with an increased risk of severe COVID-19 was present in 16,493 (95%) participants. Comorbidities included: obesity (body mass index (BMI) ≥ 30 kg/m</w:t>
      </w:r>
      <w:r>
        <w:rPr>
          <w:sz w:val="22"/>
          <w:szCs w:val="22"/>
          <w:vertAlign w:val="superscript"/>
        </w:rPr>
        <w:t>2</w:t>
      </w:r>
      <w:r>
        <w:rPr>
          <w:sz w:val="22"/>
          <w:szCs w:val="22"/>
        </w:rPr>
        <w:t>); chronic lung disease; diabetes mellitus type 2, cardiovascular disease; chronic kidney disease; or human immunodeficiency virus (HIV). Other high-risk characteristics included age ≥65 years (with or without comorbidities) or age &lt;65 years with comorbidities and/or living or working conditions involving known frequent exposure to SARS-CoV-2 or to densely populated circumstances.</w:t>
      </w:r>
    </w:p>
    <w:p w14:paraId="01DC1448" w14:textId="77777777" w:rsidR="002B02D6" w:rsidRDefault="002B02D6">
      <w:pPr>
        <w:pStyle w:val="NormalWeb"/>
        <w:spacing w:before="0" w:beforeAutospacing="0" w:after="0" w:afterAutospacing="0"/>
        <w:divId w:val="1888711994"/>
        <w:rPr>
          <w:sz w:val="22"/>
          <w:szCs w:val="22"/>
        </w:rPr>
      </w:pPr>
      <w:r>
        <w:rPr>
          <w:sz w:val="22"/>
          <w:szCs w:val="22"/>
        </w:rPr>
        <w:t> </w:t>
      </w:r>
    </w:p>
    <w:p w14:paraId="7302D124" w14:textId="77777777" w:rsidR="002B02D6" w:rsidRDefault="002B02D6">
      <w:pPr>
        <w:pStyle w:val="NormalWeb"/>
        <w:spacing w:before="0" w:beforeAutospacing="0" w:after="0" w:afterAutospacing="0"/>
        <w:divId w:val="1888711994"/>
        <w:rPr>
          <w:sz w:val="22"/>
          <w:szCs w:val="22"/>
        </w:rPr>
      </w:pPr>
      <w:r>
        <w:rPr>
          <w:sz w:val="22"/>
          <w:szCs w:val="22"/>
        </w:rPr>
        <w:t>COVID-19 cases were confirmed by polymerase chain reaction (PCR) through a central laboratory. Vaccine efficacy is presented in Table 2.</w:t>
      </w:r>
    </w:p>
    <w:p w14:paraId="4E1E3AC1" w14:textId="77777777" w:rsidR="002B02D6" w:rsidRDefault="002B02D6">
      <w:pPr>
        <w:pStyle w:val="NormalWeb"/>
        <w:spacing w:before="0" w:beforeAutospacing="0" w:after="0" w:afterAutospacing="0"/>
        <w:divId w:val="1888711994"/>
        <w:rPr>
          <w:sz w:val="22"/>
          <w:szCs w:val="22"/>
        </w:rPr>
      </w:pPr>
      <w:r>
        <w:rPr>
          <w:sz w:val="22"/>
          <w:szCs w:val="22"/>
        </w:rPr>
        <w:t> </w:t>
      </w:r>
    </w:p>
    <w:p w14:paraId="78C0E570" w14:textId="77777777" w:rsidR="002B02D6" w:rsidRDefault="002B02D6">
      <w:pPr>
        <w:pStyle w:val="NormalWeb"/>
        <w:spacing w:before="0" w:beforeAutospacing="0" w:after="40" w:afterAutospacing="0"/>
        <w:divId w:val="1888711994"/>
        <w:rPr>
          <w:sz w:val="22"/>
          <w:szCs w:val="22"/>
        </w:rPr>
      </w:pPr>
      <w:r>
        <w:rPr>
          <w:rStyle w:val="Strong"/>
          <w:sz w:val="22"/>
          <w:szCs w:val="22"/>
        </w:rPr>
        <w:t xml:space="preserve">Table 2: Vaccine efficacy against PCR-confirmed COVID-19 with onset from 7 days after second vaccination </w:t>
      </w:r>
      <w:r>
        <w:rPr>
          <w:rStyle w:val="Strong"/>
          <w:sz w:val="22"/>
          <w:szCs w:val="22"/>
          <w:vertAlign w:val="superscript"/>
        </w:rPr>
        <w:t>1</w:t>
      </w:r>
      <w:r>
        <w:rPr>
          <w:rStyle w:val="Strong"/>
          <w:sz w:val="22"/>
          <w:szCs w:val="22"/>
        </w:rPr>
        <w:t xml:space="preserve"> - PP-EFF analysis set; Study 2019nCoV-301</w:t>
      </w:r>
    </w:p>
    <w:tbl>
      <w:tblPr>
        <w:tblW w:w="9090" w:type="dxa"/>
        <w:tblCellMar>
          <w:left w:w="0" w:type="dxa"/>
          <w:right w:w="0" w:type="dxa"/>
        </w:tblCellMar>
        <w:tblLook w:val="04A0" w:firstRow="1" w:lastRow="0" w:firstColumn="1" w:lastColumn="0" w:noHBand="0" w:noVBand="1"/>
      </w:tblPr>
      <w:tblGrid>
        <w:gridCol w:w="1345"/>
        <w:gridCol w:w="1005"/>
        <w:gridCol w:w="975"/>
        <w:gridCol w:w="1186"/>
        <w:gridCol w:w="1036"/>
        <w:gridCol w:w="1006"/>
        <w:gridCol w:w="1186"/>
        <w:gridCol w:w="1351"/>
      </w:tblGrid>
      <w:tr w:rsidR="00000000" w14:paraId="71621018" w14:textId="77777777">
        <w:trPr>
          <w:divId w:val="1888711994"/>
        </w:trPr>
        <w:tc>
          <w:tcPr>
            <w:tcW w:w="134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2EE609" w14:textId="77777777" w:rsidR="002B02D6" w:rsidRDefault="002B02D6">
            <w:pPr>
              <w:pStyle w:val="NormalWeb"/>
              <w:spacing w:before="0" w:beforeAutospacing="0" w:after="0" w:afterAutospacing="0"/>
              <w:rPr>
                <w:sz w:val="22"/>
                <w:szCs w:val="22"/>
              </w:rPr>
            </w:pPr>
            <w:r>
              <w:rPr>
                <w:rStyle w:val="Strong"/>
                <w:sz w:val="20"/>
                <w:szCs w:val="20"/>
              </w:rPr>
              <w:t> </w:t>
            </w:r>
          </w:p>
          <w:p w14:paraId="713BB3C5" w14:textId="77777777" w:rsidR="002B02D6" w:rsidRDefault="002B02D6">
            <w:pPr>
              <w:pStyle w:val="NormalWeb"/>
              <w:spacing w:before="0" w:beforeAutospacing="0" w:after="0" w:afterAutospacing="0"/>
              <w:rPr>
                <w:sz w:val="22"/>
                <w:szCs w:val="22"/>
              </w:rPr>
            </w:pPr>
            <w:r>
              <w:rPr>
                <w:rStyle w:val="Strong"/>
                <w:sz w:val="20"/>
                <w:szCs w:val="20"/>
              </w:rPr>
              <w:t> </w:t>
            </w:r>
          </w:p>
          <w:p w14:paraId="1A6C77DE" w14:textId="77777777" w:rsidR="002B02D6" w:rsidRDefault="002B02D6">
            <w:pPr>
              <w:pStyle w:val="NormalWeb"/>
              <w:spacing w:before="0" w:beforeAutospacing="0" w:after="0" w:afterAutospacing="0"/>
              <w:rPr>
                <w:sz w:val="22"/>
                <w:szCs w:val="22"/>
              </w:rPr>
            </w:pPr>
            <w:r>
              <w:rPr>
                <w:rStyle w:val="Strong"/>
                <w:sz w:val="20"/>
                <w:szCs w:val="20"/>
              </w:rPr>
              <w:t> </w:t>
            </w:r>
          </w:p>
          <w:p w14:paraId="4E3F3752" w14:textId="77777777" w:rsidR="002B02D6" w:rsidRDefault="002B02D6">
            <w:pPr>
              <w:pStyle w:val="NormalWeb"/>
              <w:spacing w:before="0" w:beforeAutospacing="0" w:after="0" w:afterAutospacing="0"/>
              <w:rPr>
                <w:sz w:val="22"/>
                <w:szCs w:val="22"/>
              </w:rPr>
            </w:pPr>
            <w:r>
              <w:rPr>
                <w:rStyle w:val="Strong"/>
                <w:sz w:val="20"/>
                <w:szCs w:val="20"/>
              </w:rPr>
              <w:t> </w:t>
            </w:r>
          </w:p>
          <w:p w14:paraId="6A3A1D0D" w14:textId="77777777" w:rsidR="002B02D6" w:rsidRDefault="002B02D6">
            <w:pPr>
              <w:pStyle w:val="NormalWeb"/>
              <w:spacing w:before="0" w:beforeAutospacing="0" w:after="0" w:afterAutospacing="0"/>
              <w:rPr>
                <w:sz w:val="22"/>
                <w:szCs w:val="22"/>
              </w:rPr>
            </w:pPr>
            <w:r>
              <w:rPr>
                <w:rStyle w:val="Strong"/>
                <w:sz w:val="20"/>
                <w:szCs w:val="20"/>
              </w:rPr>
              <w:t xml:space="preserve">Subgroup </w:t>
            </w:r>
          </w:p>
        </w:tc>
        <w:tc>
          <w:tcPr>
            <w:tcW w:w="3165" w:type="dxa"/>
            <w:gridSpan w:val="3"/>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2797AE0" w14:textId="77777777" w:rsidR="002B02D6" w:rsidRDefault="002B02D6">
            <w:pPr>
              <w:pStyle w:val="NormalWeb"/>
              <w:spacing w:before="0" w:beforeAutospacing="0" w:after="0" w:afterAutospacing="0"/>
              <w:jc w:val="center"/>
              <w:rPr>
                <w:sz w:val="22"/>
                <w:szCs w:val="22"/>
              </w:rPr>
            </w:pPr>
            <w:r>
              <w:rPr>
                <w:rStyle w:val="Strong"/>
                <w:sz w:val="20"/>
                <w:szCs w:val="20"/>
              </w:rPr>
              <w:t>Nuvaxovid</w:t>
            </w:r>
          </w:p>
        </w:tc>
        <w:tc>
          <w:tcPr>
            <w:tcW w:w="3225" w:type="dxa"/>
            <w:gridSpan w:val="3"/>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196BC695" w14:textId="77777777" w:rsidR="002B02D6" w:rsidRDefault="002B02D6">
            <w:pPr>
              <w:pStyle w:val="NormalWeb"/>
              <w:spacing w:before="0" w:beforeAutospacing="0" w:after="0" w:afterAutospacing="0"/>
              <w:jc w:val="center"/>
              <w:rPr>
                <w:sz w:val="22"/>
                <w:szCs w:val="22"/>
              </w:rPr>
            </w:pPr>
            <w:r>
              <w:rPr>
                <w:rStyle w:val="Strong"/>
                <w:sz w:val="20"/>
                <w:szCs w:val="20"/>
              </w:rPr>
              <w:t>Placebo</w:t>
            </w:r>
          </w:p>
        </w:tc>
        <w:tc>
          <w:tcPr>
            <w:tcW w:w="1350" w:type="dxa"/>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6AE087C" w14:textId="77777777" w:rsidR="002B02D6" w:rsidRDefault="002B02D6">
            <w:pPr>
              <w:pStyle w:val="NormalWeb"/>
              <w:spacing w:before="0" w:beforeAutospacing="0" w:after="0" w:afterAutospacing="0"/>
              <w:rPr>
                <w:sz w:val="22"/>
                <w:szCs w:val="22"/>
              </w:rPr>
            </w:pPr>
            <w:r>
              <w:rPr>
                <w:rStyle w:val="Strong"/>
                <w:sz w:val="20"/>
                <w:szCs w:val="20"/>
              </w:rPr>
              <w:t> </w:t>
            </w:r>
          </w:p>
          <w:p w14:paraId="6D886C63" w14:textId="77777777" w:rsidR="002B02D6" w:rsidRDefault="002B02D6">
            <w:pPr>
              <w:pStyle w:val="NormalWeb"/>
              <w:spacing w:before="0" w:beforeAutospacing="0" w:after="0" w:afterAutospacing="0"/>
              <w:rPr>
                <w:sz w:val="22"/>
                <w:szCs w:val="22"/>
              </w:rPr>
            </w:pPr>
            <w:r>
              <w:rPr>
                <w:rStyle w:val="Strong"/>
                <w:sz w:val="20"/>
                <w:szCs w:val="20"/>
              </w:rPr>
              <w:t> </w:t>
            </w:r>
          </w:p>
          <w:p w14:paraId="25B30F06" w14:textId="77777777" w:rsidR="002B02D6" w:rsidRDefault="002B02D6">
            <w:pPr>
              <w:pStyle w:val="NormalWeb"/>
              <w:spacing w:before="0" w:beforeAutospacing="0" w:after="0" w:afterAutospacing="0"/>
              <w:jc w:val="center"/>
              <w:rPr>
                <w:sz w:val="22"/>
                <w:szCs w:val="22"/>
              </w:rPr>
            </w:pPr>
            <w:r>
              <w:rPr>
                <w:rStyle w:val="Strong"/>
                <w:sz w:val="20"/>
                <w:szCs w:val="20"/>
              </w:rPr>
              <w:t>% Vaccine Efficacy</w:t>
            </w:r>
          </w:p>
          <w:p w14:paraId="615412CC" w14:textId="77777777" w:rsidR="002B02D6" w:rsidRDefault="002B02D6">
            <w:pPr>
              <w:pStyle w:val="NormalWeb"/>
              <w:spacing w:before="0" w:beforeAutospacing="0" w:after="0" w:afterAutospacing="0"/>
              <w:jc w:val="center"/>
              <w:rPr>
                <w:sz w:val="22"/>
                <w:szCs w:val="22"/>
              </w:rPr>
            </w:pPr>
            <w:r>
              <w:rPr>
                <w:rStyle w:val="Strong"/>
                <w:sz w:val="20"/>
                <w:szCs w:val="20"/>
              </w:rPr>
              <w:t>(95% CI)</w:t>
            </w:r>
          </w:p>
        </w:tc>
      </w:tr>
      <w:tr w:rsidR="00000000" w14:paraId="3D680CD5" w14:textId="77777777">
        <w:trPr>
          <w:divId w:val="188871199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A106FD0" w14:textId="77777777" w:rsidR="002B02D6" w:rsidRDefault="002B02D6">
            <w:pPr>
              <w:rPr>
                <w:sz w:val="22"/>
                <w:szCs w:val="22"/>
              </w:rPr>
            </w:pPr>
          </w:p>
        </w:tc>
        <w:tc>
          <w:tcPr>
            <w:tcW w:w="1005" w:type="dxa"/>
            <w:tcBorders>
              <w:top w:val="nil"/>
              <w:left w:val="nil"/>
              <w:bottom w:val="single" w:sz="8" w:space="0" w:color="000000"/>
              <w:right w:val="single" w:sz="8" w:space="0" w:color="000000"/>
            </w:tcBorders>
            <w:tcMar>
              <w:top w:w="0" w:type="dxa"/>
              <w:left w:w="108" w:type="dxa"/>
              <w:bottom w:w="0" w:type="dxa"/>
              <w:right w:w="108" w:type="dxa"/>
            </w:tcMar>
            <w:hideMark/>
          </w:tcPr>
          <w:p w14:paraId="439E6B95" w14:textId="77777777" w:rsidR="002B02D6" w:rsidRDefault="002B02D6">
            <w:pPr>
              <w:pStyle w:val="NormalWeb"/>
              <w:spacing w:before="0" w:beforeAutospacing="0" w:after="0" w:afterAutospacing="0"/>
              <w:rPr>
                <w:sz w:val="22"/>
                <w:szCs w:val="22"/>
              </w:rPr>
            </w:pPr>
            <w:r>
              <w:rPr>
                <w:rStyle w:val="Strong"/>
                <w:sz w:val="20"/>
                <w:szCs w:val="20"/>
              </w:rPr>
              <w:t> </w:t>
            </w:r>
          </w:p>
          <w:p w14:paraId="2F9217FC" w14:textId="77777777" w:rsidR="002B02D6" w:rsidRDefault="002B02D6">
            <w:pPr>
              <w:pStyle w:val="NormalWeb"/>
              <w:spacing w:before="0" w:beforeAutospacing="0" w:after="0" w:afterAutospacing="0"/>
              <w:jc w:val="center"/>
              <w:rPr>
                <w:sz w:val="22"/>
                <w:szCs w:val="22"/>
              </w:rPr>
            </w:pPr>
            <w:r>
              <w:rPr>
                <w:rStyle w:val="Strong"/>
                <w:sz w:val="20"/>
                <w:szCs w:val="20"/>
              </w:rPr>
              <w:t>Partici-pants</w:t>
            </w:r>
            <w:r>
              <w:rPr>
                <w:sz w:val="22"/>
                <w:szCs w:val="22"/>
              </w:rPr>
              <w:br/>
            </w:r>
            <w:r>
              <w:rPr>
                <w:rStyle w:val="Strong"/>
                <w:sz w:val="20"/>
                <w:szCs w:val="20"/>
              </w:rPr>
              <w:t>N</w:t>
            </w:r>
          </w:p>
        </w:tc>
        <w:tc>
          <w:tcPr>
            <w:tcW w:w="975" w:type="dxa"/>
            <w:tcBorders>
              <w:top w:val="nil"/>
              <w:left w:val="nil"/>
              <w:bottom w:val="single" w:sz="8" w:space="0" w:color="000000"/>
              <w:right w:val="single" w:sz="8" w:space="0" w:color="000000"/>
            </w:tcBorders>
            <w:tcMar>
              <w:top w:w="0" w:type="dxa"/>
              <w:left w:w="108" w:type="dxa"/>
              <w:bottom w:w="0" w:type="dxa"/>
              <w:right w:w="108" w:type="dxa"/>
            </w:tcMar>
            <w:hideMark/>
          </w:tcPr>
          <w:p w14:paraId="12AEE4C2" w14:textId="77777777" w:rsidR="002B02D6" w:rsidRDefault="002B02D6">
            <w:pPr>
              <w:pStyle w:val="NormalWeb"/>
              <w:spacing w:before="0" w:beforeAutospacing="0" w:after="0" w:afterAutospacing="0"/>
              <w:jc w:val="center"/>
              <w:rPr>
                <w:sz w:val="22"/>
                <w:szCs w:val="22"/>
              </w:rPr>
            </w:pPr>
            <w:r>
              <w:rPr>
                <w:rStyle w:val="Strong"/>
                <w:sz w:val="20"/>
                <w:szCs w:val="20"/>
              </w:rPr>
              <w:t> </w:t>
            </w:r>
          </w:p>
          <w:p w14:paraId="5A8AA185" w14:textId="77777777" w:rsidR="002B02D6" w:rsidRDefault="002B02D6">
            <w:pPr>
              <w:pStyle w:val="NormalWeb"/>
              <w:spacing w:before="0" w:beforeAutospacing="0" w:after="0" w:afterAutospacing="0"/>
              <w:jc w:val="center"/>
              <w:rPr>
                <w:sz w:val="22"/>
                <w:szCs w:val="22"/>
              </w:rPr>
            </w:pPr>
            <w:r>
              <w:rPr>
                <w:rStyle w:val="Strong"/>
                <w:sz w:val="20"/>
                <w:szCs w:val="20"/>
              </w:rPr>
              <w:t>COVID-19 cases</w:t>
            </w:r>
            <w:r>
              <w:rPr>
                <w:sz w:val="22"/>
                <w:szCs w:val="22"/>
              </w:rPr>
              <w:br/>
            </w:r>
            <w:r>
              <w:rPr>
                <w:rStyle w:val="Strong"/>
                <w:sz w:val="20"/>
                <w:szCs w:val="20"/>
              </w:rPr>
              <w:t>n (%)</w:t>
            </w:r>
            <w:r>
              <w:rPr>
                <w:rStyle w:val="Strong"/>
                <w:rFonts w:ascii="Times New Roman Bold" w:hAnsi="Times New Roman Bold" w:cs="Times New Roman Bold"/>
                <w:sz w:val="20"/>
                <w:szCs w:val="20"/>
                <w:vertAlign w:val="superscript"/>
              </w:rPr>
              <w:t>2</w:t>
            </w:r>
          </w:p>
        </w:tc>
        <w:tc>
          <w:tcPr>
            <w:tcW w:w="1185" w:type="dxa"/>
            <w:tcBorders>
              <w:top w:val="nil"/>
              <w:left w:val="nil"/>
              <w:bottom w:val="single" w:sz="8" w:space="0" w:color="000000"/>
              <w:right w:val="single" w:sz="8" w:space="0" w:color="000000"/>
            </w:tcBorders>
            <w:tcMar>
              <w:top w:w="0" w:type="dxa"/>
              <w:left w:w="108" w:type="dxa"/>
              <w:bottom w:w="0" w:type="dxa"/>
              <w:right w:w="108" w:type="dxa"/>
            </w:tcMar>
            <w:hideMark/>
          </w:tcPr>
          <w:p w14:paraId="13634A41" w14:textId="77777777" w:rsidR="002B02D6" w:rsidRDefault="002B02D6">
            <w:pPr>
              <w:pStyle w:val="NormalWeb"/>
              <w:spacing w:before="0" w:beforeAutospacing="0" w:after="0" w:afterAutospacing="0"/>
              <w:jc w:val="center"/>
              <w:rPr>
                <w:sz w:val="22"/>
                <w:szCs w:val="22"/>
              </w:rPr>
            </w:pPr>
            <w:r>
              <w:rPr>
                <w:rStyle w:val="Strong"/>
                <w:sz w:val="20"/>
                <w:szCs w:val="20"/>
              </w:rPr>
              <w:t>Incidence Rate Per Year Per 1,000 People</w:t>
            </w:r>
            <w:r>
              <w:rPr>
                <w:rStyle w:val="Strong"/>
                <w:sz w:val="20"/>
                <w:szCs w:val="20"/>
                <w:vertAlign w:val="superscript"/>
              </w:rPr>
              <w:t>2</w:t>
            </w:r>
          </w:p>
        </w:tc>
        <w:tc>
          <w:tcPr>
            <w:tcW w:w="1035" w:type="dxa"/>
            <w:tcBorders>
              <w:top w:val="nil"/>
              <w:left w:val="nil"/>
              <w:bottom w:val="single" w:sz="8" w:space="0" w:color="000000"/>
              <w:right w:val="single" w:sz="8" w:space="0" w:color="000000"/>
            </w:tcBorders>
            <w:tcMar>
              <w:top w:w="0" w:type="dxa"/>
              <w:left w:w="108" w:type="dxa"/>
              <w:bottom w:w="0" w:type="dxa"/>
              <w:right w:w="108" w:type="dxa"/>
            </w:tcMar>
            <w:hideMark/>
          </w:tcPr>
          <w:p w14:paraId="63245868" w14:textId="77777777" w:rsidR="002B02D6" w:rsidRDefault="002B02D6">
            <w:pPr>
              <w:pStyle w:val="NormalWeb"/>
              <w:spacing w:before="0" w:beforeAutospacing="0" w:after="0" w:afterAutospacing="0"/>
              <w:rPr>
                <w:sz w:val="22"/>
                <w:szCs w:val="22"/>
              </w:rPr>
            </w:pPr>
            <w:r>
              <w:rPr>
                <w:rStyle w:val="Strong"/>
                <w:sz w:val="20"/>
                <w:szCs w:val="20"/>
              </w:rPr>
              <w:t> </w:t>
            </w:r>
          </w:p>
          <w:p w14:paraId="046081D9" w14:textId="77777777" w:rsidR="002B02D6" w:rsidRDefault="002B02D6">
            <w:pPr>
              <w:pStyle w:val="NormalWeb"/>
              <w:spacing w:before="0" w:beforeAutospacing="0" w:after="0" w:afterAutospacing="0"/>
              <w:jc w:val="center"/>
              <w:rPr>
                <w:sz w:val="22"/>
                <w:szCs w:val="22"/>
              </w:rPr>
            </w:pPr>
            <w:r>
              <w:rPr>
                <w:rStyle w:val="Strong"/>
                <w:sz w:val="20"/>
                <w:szCs w:val="20"/>
              </w:rPr>
              <w:t>Partici-pants</w:t>
            </w:r>
          </w:p>
          <w:p w14:paraId="0562232C" w14:textId="77777777" w:rsidR="002B02D6" w:rsidRDefault="002B02D6">
            <w:pPr>
              <w:pStyle w:val="NormalWeb"/>
              <w:spacing w:before="0" w:beforeAutospacing="0" w:after="0" w:afterAutospacing="0"/>
              <w:jc w:val="center"/>
              <w:rPr>
                <w:sz w:val="22"/>
                <w:szCs w:val="22"/>
              </w:rPr>
            </w:pPr>
            <w:r>
              <w:rPr>
                <w:rStyle w:val="Strong"/>
                <w:sz w:val="20"/>
                <w:szCs w:val="20"/>
              </w:rPr>
              <w:t>N</w:t>
            </w:r>
          </w:p>
        </w:tc>
        <w:tc>
          <w:tcPr>
            <w:tcW w:w="1005" w:type="dxa"/>
            <w:tcBorders>
              <w:top w:val="nil"/>
              <w:left w:val="nil"/>
              <w:bottom w:val="single" w:sz="8" w:space="0" w:color="000000"/>
              <w:right w:val="single" w:sz="8" w:space="0" w:color="000000"/>
            </w:tcBorders>
            <w:tcMar>
              <w:top w:w="0" w:type="dxa"/>
              <w:left w:w="108" w:type="dxa"/>
              <w:bottom w:w="0" w:type="dxa"/>
              <w:right w:w="108" w:type="dxa"/>
            </w:tcMar>
            <w:hideMark/>
          </w:tcPr>
          <w:p w14:paraId="20EC1173" w14:textId="77777777" w:rsidR="002B02D6" w:rsidRDefault="002B02D6">
            <w:pPr>
              <w:pStyle w:val="NormalWeb"/>
              <w:spacing w:before="0" w:beforeAutospacing="0" w:after="0" w:afterAutospacing="0"/>
              <w:jc w:val="center"/>
              <w:rPr>
                <w:sz w:val="22"/>
                <w:szCs w:val="22"/>
              </w:rPr>
            </w:pPr>
            <w:r>
              <w:rPr>
                <w:rStyle w:val="Strong"/>
                <w:sz w:val="20"/>
                <w:szCs w:val="20"/>
              </w:rPr>
              <w:t> </w:t>
            </w:r>
          </w:p>
          <w:p w14:paraId="1B6620AD" w14:textId="77777777" w:rsidR="002B02D6" w:rsidRDefault="002B02D6">
            <w:pPr>
              <w:pStyle w:val="NormalWeb"/>
              <w:spacing w:before="0" w:beforeAutospacing="0" w:after="0" w:afterAutospacing="0"/>
              <w:jc w:val="center"/>
              <w:rPr>
                <w:sz w:val="22"/>
                <w:szCs w:val="22"/>
              </w:rPr>
            </w:pPr>
            <w:r>
              <w:rPr>
                <w:rStyle w:val="Strong"/>
                <w:sz w:val="20"/>
                <w:szCs w:val="20"/>
              </w:rPr>
              <w:t>COVID-19 cases n (%)</w:t>
            </w:r>
            <w:r>
              <w:rPr>
                <w:rStyle w:val="Strong"/>
                <w:rFonts w:ascii="Times New Roman Bold" w:hAnsi="Times New Roman Bold" w:cs="Times New Roman Bold"/>
                <w:sz w:val="20"/>
                <w:szCs w:val="20"/>
                <w:vertAlign w:val="superscript"/>
              </w:rPr>
              <w:t>3</w:t>
            </w:r>
          </w:p>
        </w:tc>
        <w:tc>
          <w:tcPr>
            <w:tcW w:w="1185" w:type="dxa"/>
            <w:tcBorders>
              <w:top w:val="nil"/>
              <w:left w:val="nil"/>
              <w:bottom w:val="single" w:sz="8" w:space="0" w:color="000000"/>
              <w:right w:val="single" w:sz="8" w:space="0" w:color="000000"/>
            </w:tcBorders>
            <w:tcMar>
              <w:top w:w="0" w:type="dxa"/>
              <w:left w:w="108" w:type="dxa"/>
              <w:bottom w:w="0" w:type="dxa"/>
              <w:right w:w="108" w:type="dxa"/>
            </w:tcMar>
            <w:hideMark/>
          </w:tcPr>
          <w:p w14:paraId="380053A8" w14:textId="77777777" w:rsidR="002B02D6" w:rsidRDefault="002B02D6">
            <w:pPr>
              <w:pStyle w:val="NormalWeb"/>
              <w:spacing w:before="0" w:beforeAutospacing="0" w:after="0" w:afterAutospacing="0"/>
              <w:jc w:val="center"/>
              <w:rPr>
                <w:sz w:val="22"/>
                <w:szCs w:val="22"/>
              </w:rPr>
            </w:pPr>
            <w:r>
              <w:rPr>
                <w:rStyle w:val="Strong"/>
                <w:sz w:val="20"/>
                <w:szCs w:val="20"/>
              </w:rPr>
              <w:t>Incidence Rate Per Year Per 1,000 People</w:t>
            </w:r>
            <w:r>
              <w:rPr>
                <w:rStyle w:val="Strong"/>
                <w:sz w:val="20"/>
                <w:szCs w:val="20"/>
                <w:vertAlign w:val="superscript"/>
              </w:rPr>
              <w:t>2</w:t>
            </w:r>
          </w:p>
        </w:tc>
        <w:tc>
          <w:tcPr>
            <w:tcW w:w="0" w:type="auto"/>
            <w:vMerge/>
            <w:tcBorders>
              <w:top w:val="single" w:sz="8" w:space="0" w:color="000000"/>
              <w:left w:val="nil"/>
              <w:bottom w:val="single" w:sz="8" w:space="0" w:color="000000"/>
              <w:right w:val="single" w:sz="8" w:space="0" w:color="000000"/>
            </w:tcBorders>
            <w:vAlign w:val="center"/>
            <w:hideMark/>
          </w:tcPr>
          <w:p w14:paraId="7F962074" w14:textId="77777777" w:rsidR="002B02D6" w:rsidRDefault="002B02D6">
            <w:pPr>
              <w:rPr>
                <w:sz w:val="22"/>
                <w:szCs w:val="22"/>
              </w:rPr>
            </w:pPr>
          </w:p>
        </w:tc>
      </w:tr>
      <w:tr w:rsidR="00000000" w14:paraId="1C662489" w14:textId="77777777">
        <w:trPr>
          <w:divId w:val="1888711994"/>
        </w:trPr>
        <w:tc>
          <w:tcPr>
            <w:tcW w:w="9085" w:type="dxa"/>
            <w:gridSpan w:val="8"/>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BC1299C" w14:textId="77777777" w:rsidR="002B02D6" w:rsidRDefault="002B02D6">
            <w:pPr>
              <w:pStyle w:val="NormalWeb"/>
              <w:spacing w:before="60" w:beforeAutospacing="0" w:after="60" w:afterAutospacing="0"/>
              <w:rPr>
                <w:sz w:val="22"/>
                <w:szCs w:val="22"/>
              </w:rPr>
            </w:pPr>
            <w:r>
              <w:rPr>
                <w:rStyle w:val="Strong"/>
                <w:sz w:val="22"/>
                <w:szCs w:val="22"/>
              </w:rPr>
              <w:t>Primary efficacy endpoint</w:t>
            </w:r>
          </w:p>
        </w:tc>
      </w:tr>
      <w:tr w:rsidR="00000000" w14:paraId="017F4667" w14:textId="77777777">
        <w:trPr>
          <w:divId w:val="1888711994"/>
        </w:trPr>
        <w:tc>
          <w:tcPr>
            <w:tcW w:w="134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5944D9A" w14:textId="77777777" w:rsidR="002B02D6" w:rsidRDefault="002B02D6">
            <w:pPr>
              <w:pStyle w:val="NormalWeb"/>
              <w:spacing w:before="60" w:beforeAutospacing="0" w:after="60" w:afterAutospacing="0"/>
              <w:ind w:right="-90"/>
              <w:rPr>
                <w:sz w:val="22"/>
                <w:szCs w:val="22"/>
              </w:rPr>
            </w:pPr>
            <w:r>
              <w:rPr>
                <w:sz w:val="20"/>
                <w:szCs w:val="20"/>
              </w:rPr>
              <w:t>All participants</w:t>
            </w:r>
          </w:p>
        </w:tc>
        <w:tc>
          <w:tcPr>
            <w:tcW w:w="1005" w:type="dxa"/>
            <w:tcBorders>
              <w:top w:val="nil"/>
              <w:left w:val="nil"/>
              <w:bottom w:val="single" w:sz="8" w:space="0" w:color="000000"/>
              <w:right w:val="single" w:sz="8" w:space="0" w:color="000000"/>
            </w:tcBorders>
            <w:tcMar>
              <w:top w:w="0" w:type="dxa"/>
              <w:left w:w="108" w:type="dxa"/>
              <w:bottom w:w="0" w:type="dxa"/>
              <w:right w:w="108" w:type="dxa"/>
            </w:tcMar>
            <w:hideMark/>
          </w:tcPr>
          <w:p w14:paraId="7571B867" w14:textId="77777777" w:rsidR="002B02D6" w:rsidRDefault="002B02D6">
            <w:pPr>
              <w:pStyle w:val="NormalWeb"/>
              <w:spacing w:before="60" w:beforeAutospacing="0" w:after="60" w:afterAutospacing="0"/>
              <w:jc w:val="center"/>
              <w:rPr>
                <w:sz w:val="22"/>
                <w:szCs w:val="22"/>
              </w:rPr>
            </w:pPr>
            <w:r>
              <w:rPr>
                <w:sz w:val="20"/>
                <w:szCs w:val="20"/>
              </w:rPr>
              <w:t>17,312</w:t>
            </w:r>
          </w:p>
        </w:tc>
        <w:tc>
          <w:tcPr>
            <w:tcW w:w="975" w:type="dxa"/>
            <w:tcBorders>
              <w:top w:val="nil"/>
              <w:left w:val="nil"/>
              <w:bottom w:val="single" w:sz="8" w:space="0" w:color="000000"/>
              <w:right w:val="single" w:sz="8" w:space="0" w:color="000000"/>
            </w:tcBorders>
            <w:tcMar>
              <w:top w:w="0" w:type="dxa"/>
              <w:left w:w="108" w:type="dxa"/>
              <w:bottom w:w="0" w:type="dxa"/>
              <w:right w:w="108" w:type="dxa"/>
            </w:tcMar>
            <w:hideMark/>
          </w:tcPr>
          <w:p w14:paraId="26BC2EBF" w14:textId="77777777" w:rsidR="002B02D6" w:rsidRDefault="002B02D6">
            <w:pPr>
              <w:pStyle w:val="NormalWeb"/>
              <w:spacing w:before="60" w:beforeAutospacing="0" w:after="60" w:afterAutospacing="0"/>
              <w:jc w:val="center"/>
              <w:rPr>
                <w:sz w:val="22"/>
                <w:szCs w:val="22"/>
              </w:rPr>
            </w:pPr>
            <w:r>
              <w:rPr>
                <w:sz w:val="20"/>
                <w:szCs w:val="20"/>
              </w:rPr>
              <w:t>14 (0.1)</w:t>
            </w:r>
          </w:p>
        </w:tc>
        <w:tc>
          <w:tcPr>
            <w:tcW w:w="1185" w:type="dxa"/>
            <w:tcBorders>
              <w:top w:val="nil"/>
              <w:left w:val="nil"/>
              <w:bottom w:val="single" w:sz="8" w:space="0" w:color="000000"/>
              <w:right w:val="single" w:sz="8" w:space="0" w:color="000000"/>
            </w:tcBorders>
            <w:tcMar>
              <w:top w:w="0" w:type="dxa"/>
              <w:left w:w="108" w:type="dxa"/>
              <w:bottom w:w="0" w:type="dxa"/>
              <w:right w:w="108" w:type="dxa"/>
            </w:tcMar>
            <w:hideMark/>
          </w:tcPr>
          <w:p w14:paraId="1C5A1B72" w14:textId="77777777" w:rsidR="002B02D6" w:rsidRDefault="002B02D6">
            <w:pPr>
              <w:pStyle w:val="NormalWeb"/>
              <w:spacing w:before="60" w:beforeAutospacing="0" w:after="60" w:afterAutospacing="0" w:line="260" w:lineRule="atLeast"/>
              <w:jc w:val="center"/>
              <w:rPr>
                <w:sz w:val="22"/>
                <w:szCs w:val="22"/>
              </w:rPr>
            </w:pPr>
            <w:r>
              <w:rPr>
                <w:color w:val="000000"/>
                <w:sz w:val="20"/>
                <w:szCs w:val="20"/>
              </w:rPr>
              <w:t xml:space="preserve">3.26 </w:t>
            </w:r>
          </w:p>
        </w:tc>
        <w:tc>
          <w:tcPr>
            <w:tcW w:w="1035" w:type="dxa"/>
            <w:tcBorders>
              <w:top w:val="nil"/>
              <w:left w:val="nil"/>
              <w:bottom w:val="single" w:sz="8" w:space="0" w:color="000000"/>
              <w:right w:val="single" w:sz="8" w:space="0" w:color="000000"/>
            </w:tcBorders>
            <w:tcMar>
              <w:top w:w="0" w:type="dxa"/>
              <w:left w:w="108" w:type="dxa"/>
              <w:bottom w:w="0" w:type="dxa"/>
              <w:right w:w="108" w:type="dxa"/>
            </w:tcMar>
            <w:hideMark/>
          </w:tcPr>
          <w:p w14:paraId="47DBB7E2" w14:textId="77777777" w:rsidR="002B02D6" w:rsidRDefault="002B02D6">
            <w:pPr>
              <w:pStyle w:val="NormalWeb"/>
              <w:spacing w:before="60" w:beforeAutospacing="0" w:after="60" w:afterAutospacing="0"/>
              <w:jc w:val="center"/>
              <w:rPr>
                <w:sz w:val="22"/>
                <w:szCs w:val="22"/>
              </w:rPr>
            </w:pPr>
            <w:r>
              <w:rPr>
                <w:sz w:val="20"/>
                <w:szCs w:val="20"/>
              </w:rPr>
              <w:t>8,140</w:t>
            </w:r>
          </w:p>
        </w:tc>
        <w:tc>
          <w:tcPr>
            <w:tcW w:w="1005" w:type="dxa"/>
            <w:tcBorders>
              <w:top w:val="nil"/>
              <w:left w:val="nil"/>
              <w:bottom w:val="single" w:sz="8" w:space="0" w:color="000000"/>
              <w:right w:val="single" w:sz="8" w:space="0" w:color="000000"/>
            </w:tcBorders>
            <w:tcMar>
              <w:top w:w="0" w:type="dxa"/>
              <w:left w:w="108" w:type="dxa"/>
              <w:bottom w:w="0" w:type="dxa"/>
              <w:right w:w="108" w:type="dxa"/>
            </w:tcMar>
            <w:hideMark/>
          </w:tcPr>
          <w:p w14:paraId="532A4047" w14:textId="77777777" w:rsidR="002B02D6" w:rsidRDefault="002B02D6">
            <w:pPr>
              <w:pStyle w:val="NormalWeb"/>
              <w:spacing w:before="60" w:beforeAutospacing="0" w:after="60" w:afterAutospacing="0"/>
              <w:jc w:val="center"/>
              <w:rPr>
                <w:sz w:val="22"/>
                <w:szCs w:val="22"/>
              </w:rPr>
            </w:pPr>
            <w:r>
              <w:rPr>
                <w:sz w:val="20"/>
                <w:szCs w:val="20"/>
              </w:rPr>
              <w:t>63 (0.8)</w:t>
            </w:r>
          </w:p>
        </w:tc>
        <w:tc>
          <w:tcPr>
            <w:tcW w:w="1185" w:type="dxa"/>
            <w:tcBorders>
              <w:top w:val="nil"/>
              <w:left w:val="nil"/>
              <w:bottom w:val="single" w:sz="8" w:space="0" w:color="000000"/>
              <w:right w:val="single" w:sz="8" w:space="0" w:color="000000"/>
            </w:tcBorders>
            <w:tcMar>
              <w:top w:w="0" w:type="dxa"/>
              <w:left w:w="108" w:type="dxa"/>
              <w:bottom w:w="0" w:type="dxa"/>
              <w:right w:w="108" w:type="dxa"/>
            </w:tcMar>
            <w:hideMark/>
          </w:tcPr>
          <w:p w14:paraId="16F0C235" w14:textId="77777777" w:rsidR="002B02D6" w:rsidRDefault="002B02D6">
            <w:pPr>
              <w:pStyle w:val="NormalWeb"/>
              <w:spacing w:before="60" w:beforeAutospacing="0" w:after="60" w:afterAutospacing="0"/>
              <w:jc w:val="center"/>
              <w:rPr>
                <w:sz w:val="22"/>
                <w:szCs w:val="22"/>
              </w:rPr>
            </w:pPr>
            <w:r>
              <w:rPr>
                <w:color w:val="000000"/>
                <w:sz w:val="20"/>
                <w:szCs w:val="20"/>
              </w:rPr>
              <w:t xml:space="preserve">34.01 </w:t>
            </w:r>
          </w:p>
        </w:tc>
        <w:tc>
          <w:tcPr>
            <w:tcW w:w="1350" w:type="dxa"/>
            <w:tcBorders>
              <w:top w:val="nil"/>
              <w:left w:val="nil"/>
              <w:bottom w:val="single" w:sz="8" w:space="0" w:color="000000"/>
              <w:right w:val="single" w:sz="8" w:space="0" w:color="000000"/>
            </w:tcBorders>
            <w:tcMar>
              <w:top w:w="0" w:type="dxa"/>
              <w:left w:w="108" w:type="dxa"/>
              <w:bottom w:w="0" w:type="dxa"/>
              <w:right w:w="108" w:type="dxa"/>
            </w:tcMar>
            <w:hideMark/>
          </w:tcPr>
          <w:p w14:paraId="2D5719A3" w14:textId="77777777" w:rsidR="002B02D6" w:rsidRDefault="002B02D6">
            <w:pPr>
              <w:pStyle w:val="NormalWeb"/>
              <w:spacing w:before="60" w:beforeAutospacing="0" w:after="60" w:afterAutospacing="0"/>
              <w:ind w:left="-109"/>
              <w:jc w:val="center"/>
              <w:rPr>
                <w:sz w:val="22"/>
                <w:szCs w:val="22"/>
              </w:rPr>
            </w:pPr>
            <w:r>
              <w:rPr>
                <w:sz w:val="20"/>
                <w:szCs w:val="20"/>
              </w:rPr>
              <w:t>90.4%</w:t>
            </w:r>
            <w:r>
              <w:rPr>
                <w:sz w:val="22"/>
                <w:szCs w:val="22"/>
              </w:rPr>
              <w:br/>
            </w:r>
            <w:r>
              <w:rPr>
                <w:sz w:val="20"/>
                <w:szCs w:val="20"/>
              </w:rPr>
              <w:t>(82.9, 94.6)</w:t>
            </w:r>
            <w:r>
              <w:rPr>
                <w:sz w:val="20"/>
                <w:szCs w:val="20"/>
                <w:vertAlign w:val="superscript"/>
              </w:rPr>
              <w:t>3,4</w:t>
            </w:r>
          </w:p>
        </w:tc>
      </w:tr>
    </w:tbl>
    <w:p w14:paraId="0ABC9C23" w14:textId="77777777" w:rsidR="002B02D6" w:rsidRDefault="002B02D6">
      <w:pPr>
        <w:pStyle w:val="NormalWeb"/>
        <w:spacing w:before="0" w:beforeAutospacing="0" w:after="0" w:afterAutospacing="0" w:line="260" w:lineRule="atLeast"/>
        <w:ind w:left="90" w:right="102" w:hanging="90"/>
        <w:divId w:val="1888711994"/>
        <w:rPr>
          <w:sz w:val="22"/>
          <w:szCs w:val="22"/>
        </w:rPr>
      </w:pPr>
      <w:r>
        <w:rPr>
          <w:sz w:val="18"/>
          <w:szCs w:val="18"/>
          <w:vertAlign w:val="superscript"/>
        </w:rPr>
        <w:t>1</w:t>
      </w:r>
      <w:r>
        <w:rPr>
          <w:sz w:val="18"/>
          <w:szCs w:val="18"/>
        </w:rPr>
        <w:t xml:space="preserve"> VE evaluated in participants without major protocol deviations, who are seronegative (for SARS-CoV-2) at baseline and do not have a laboratory confirmed current SARS-CoV-2 infection with symptom onset up to 6 days after the second dose, and who have received the full prescribed regimen of trial vaccine.</w:t>
      </w:r>
    </w:p>
    <w:p w14:paraId="00BE9F78"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2</w:t>
      </w:r>
      <w:r>
        <w:rPr>
          <w:sz w:val="18"/>
          <w:szCs w:val="18"/>
        </w:rPr>
        <w:t xml:space="preserve"> </w:t>
      </w:r>
      <w:r>
        <w:rPr>
          <w:sz w:val="18"/>
          <w:szCs w:val="18"/>
        </w:rPr>
        <w:t>Mean disease incidence rate per year in 1,000 people.</w:t>
      </w:r>
    </w:p>
    <w:p w14:paraId="2BF878C7"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3</w:t>
      </w:r>
      <w:r>
        <w:rPr>
          <w:sz w:val="18"/>
          <w:szCs w:val="18"/>
        </w:rPr>
        <w:t xml:space="preserve"> Based on log-linear model of PCR-confirmed COVID-19 infection incidence rate using Poisson regression with treatment group and age strata as fixed effects and robust error variance, where VE = 100 × (1 – relative risk) (</w:t>
      </w:r>
      <w:hyperlink w:anchor="Zou2004" w:history="1">
        <w:r>
          <w:rPr>
            <w:rStyle w:val="Hyperlink"/>
            <w:color w:val="auto"/>
            <w:sz w:val="18"/>
            <w:szCs w:val="18"/>
          </w:rPr>
          <w:t>Zou 2004</w:t>
        </w:r>
      </w:hyperlink>
      <w:r>
        <w:rPr>
          <w:sz w:val="18"/>
          <w:szCs w:val="18"/>
        </w:rPr>
        <w:t>).</w:t>
      </w:r>
    </w:p>
    <w:p w14:paraId="763E32A2"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4</w:t>
      </w:r>
      <w:r>
        <w:rPr>
          <w:sz w:val="18"/>
          <w:szCs w:val="18"/>
        </w:rPr>
        <w:t xml:space="preserve"> Met primary efficacy endpoint criterion for success with a lower bound confidence interval (LBCI) &gt; 30%. at the planned primary confirmatory analysis</w:t>
      </w:r>
    </w:p>
    <w:p w14:paraId="4B2977B9" w14:textId="77777777" w:rsidR="002B02D6" w:rsidRDefault="002B02D6">
      <w:pPr>
        <w:pStyle w:val="NormalWeb"/>
        <w:spacing w:before="0" w:beforeAutospacing="0" w:after="0" w:afterAutospacing="0"/>
        <w:divId w:val="1888711994"/>
        <w:rPr>
          <w:sz w:val="22"/>
          <w:szCs w:val="22"/>
        </w:rPr>
      </w:pPr>
      <w:r>
        <w:rPr>
          <w:sz w:val="22"/>
          <w:szCs w:val="22"/>
        </w:rPr>
        <w:t> </w:t>
      </w:r>
    </w:p>
    <w:p w14:paraId="10E2CC40" w14:textId="77777777" w:rsidR="002B02D6" w:rsidRDefault="002B02D6">
      <w:pPr>
        <w:pStyle w:val="NormalWeb"/>
        <w:spacing w:before="0" w:beforeAutospacing="0" w:after="0" w:afterAutospacing="0"/>
        <w:divId w:val="1888711994"/>
        <w:rPr>
          <w:sz w:val="22"/>
          <w:szCs w:val="22"/>
        </w:rPr>
      </w:pPr>
      <w:r>
        <w:rPr>
          <w:sz w:val="22"/>
          <w:szCs w:val="22"/>
        </w:rPr>
        <w:t>Vaccine efficacy of Nuvaxovid to prevent the onset of COVID-19 from seven days after Dose 2 was 90.4% (95% CI 82.9,94.6). No cases of severe COVID-19 were reported in the 17,312 Nuvaxovid participants compared with 4 cases of severe COVID-19 reported in the 8,140 placebo recipients in the PP-EFF analysis set.</w:t>
      </w:r>
    </w:p>
    <w:p w14:paraId="67C27722" w14:textId="77777777" w:rsidR="002B02D6" w:rsidRDefault="002B02D6">
      <w:pPr>
        <w:pStyle w:val="NormalWeb"/>
        <w:spacing w:before="0" w:beforeAutospacing="0" w:after="0" w:afterAutospacing="0"/>
        <w:divId w:val="1888711994"/>
        <w:rPr>
          <w:sz w:val="22"/>
          <w:szCs w:val="22"/>
        </w:rPr>
      </w:pPr>
      <w:r>
        <w:rPr>
          <w:sz w:val="22"/>
          <w:szCs w:val="22"/>
        </w:rPr>
        <w:t> </w:t>
      </w:r>
    </w:p>
    <w:p w14:paraId="2A6142EC" w14:textId="77777777" w:rsidR="002B02D6" w:rsidRDefault="002B02D6">
      <w:pPr>
        <w:pStyle w:val="NormalWeb"/>
        <w:spacing w:before="0" w:beforeAutospacing="0" w:after="0" w:afterAutospacing="0"/>
        <w:divId w:val="1888711994"/>
        <w:rPr>
          <w:sz w:val="22"/>
          <w:szCs w:val="22"/>
        </w:rPr>
      </w:pPr>
      <w:r>
        <w:rPr>
          <w:sz w:val="22"/>
          <w:szCs w:val="22"/>
        </w:rPr>
        <w:t>Subgroup analyses of the primary efficacy endpoint showed similar efficacy point estimates for male and female participants and racial groups, and across participants with medical comorbidities associated with high risk of severe COVID-19. There were no meaningful differences in overall vaccine efficacy in participants who were at increased risk of severe COVID-19 including those with 1 or more comorbidities that increase the risk of severe COVID-19 (e.g., BMI ≥ 30 kg/m</w:t>
      </w:r>
      <w:r>
        <w:rPr>
          <w:sz w:val="22"/>
          <w:szCs w:val="22"/>
          <w:vertAlign w:val="superscript"/>
        </w:rPr>
        <w:t>2</w:t>
      </w:r>
      <w:r>
        <w:rPr>
          <w:sz w:val="22"/>
          <w:szCs w:val="22"/>
        </w:rPr>
        <w:t>, chronic lung disease, diabetes mellitus type 2, cardiovascular disease, and chronic kidney disease).</w:t>
      </w:r>
    </w:p>
    <w:p w14:paraId="70511CF7" w14:textId="77777777" w:rsidR="002B02D6" w:rsidRDefault="002B02D6">
      <w:pPr>
        <w:pStyle w:val="NormalWeb"/>
        <w:spacing w:before="0" w:beforeAutospacing="0" w:after="0" w:afterAutospacing="0"/>
        <w:divId w:val="1888711994"/>
        <w:rPr>
          <w:sz w:val="22"/>
          <w:szCs w:val="22"/>
        </w:rPr>
      </w:pPr>
      <w:r>
        <w:rPr>
          <w:sz w:val="22"/>
          <w:szCs w:val="22"/>
        </w:rPr>
        <w:t> </w:t>
      </w:r>
    </w:p>
    <w:p w14:paraId="72D129A3" w14:textId="77777777" w:rsidR="002B02D6" w:rsidRDefault="002B02D6">
      <w:pPr>
        <w:pStyle w:val="NormalWeb"/>
        <w:spacing w:before="0" w:beforeAutospacing="0" w:after="0" w:afterAutospacing="0"/>
        <w:divId w:val="1888711994"/>
        <w:rPr>
          <w:sz w:val="22"/>
          <w:szCs w:val="22"/>
        </w:rPr>
      </w:pPr>
      <w:r>
        <w:rPr>
          <w:sz w:val="22"/>
          <w:szCs w:val="22"/>
        </w:rPr>
        <w:t xml:space="preserve">Efficacy results reflect enrolment that occurred during the time period when strains classified as </w:t>
      </w:r>
      <w:r>
        <w:rPr>
          <w:sz w:val="22"/>
          <w:szCs w:val="22"/>
        </w:rPr>
        <w:br/>
      </w:r>
      <w:r>
        <w:rPr>
          <w:sz w:val="22"/>
          <w:szCs w:val="22"/>
        </w:rPr>
        <w:t>Variants of Concern or Variants of Interest were predominantly circulating in the two countries (US and Mexico) where the study was conducted. Sequencing data were available for 61 of the 77 endpoint cases (79%). Of these, 48 out of 61 (79%) were identified as Variants of Concern or Variants of Interest. The most common Variants of Concern identified were Alpha with 31/61 cases (51%), Beta (2/61, 4%) and Gamma (2/61, 4%), while the most common Variants of Interest were Iota with 8/61 cases (13%), and Epsilo</w:t>
      </w:r>
      <w:r>
        <w:rPr>
          <w:sz w:val="22"/>
          <w:szCs w:val="22"/>
        </w:rPr>
        <w:t>n (3/61, 5%).</w:t>
      </w:r>
    </w:p>
    <w:p w14:paraId="5D37406F" w14:textId="77777777" w:rsidR="002B02D6" w:rsidRDefault="002B02D6">
      <w:pPr>
        <w:pStyle w:val="NormalWeb"/>
        <w:spacing w:before="0" w:beforeAutospacing="0" w:after="0" w:afterAutospacing="0"/>
        <w:divId w:val="1888711994"/>
        <w:rPr>
          <w:sz w:val="22"/>
          <w:szCs w:val="22"/>
        </w:rPr>
      </w:pPr>
      <w:r>
        <w:rPr>
          <w:sz w:val="22"/>
          <w:szCs w:val="22"/>
        </w:rPr>
        <w:t> </w:t>
      </w:r>
    </w:p>
    <w:p w14:paraId="2BAFC3A8" w14:textId="77777777" w:rsidR="002B02D6" w:rsidRDefault="002B02D6">
      <w:pPr>
        <w:pStyle w:val="NormalWeb"/>
        <w:spacing w:before="0" w:beforeAutospacing="0" w:after="0" w:afterAutospacing="0"/>
        <w:divId w:val="1888711994"/>
        <w:rPr>
          <w:sz w:val="22"/>
          <w:szCs w:val="22"/>
        </w:rPr>
      </w:pPr>
      <w:r>
        <w:rPr>
          <w:rStyle w:val="Emphasis"/>
          <w:sz w:val="22"/>
          <w:szCs w:val="22"/>
        </w:rPr>
        <w:t>Efficacy in adolescents 12 through 17 years of age</w:t>
      </w:r>
    </w:p>
    <w:p w14:paraId="10F1DC00" w14:textId="77777777" w:rsidR="002B02D6" w:rsidRDefault="002B02D6">
      <w:pPr>
        <w:pStyle w:val="NormalWeb"/>
        <w:spacing w:before="0" w:beforeAutospacing="0" w:after="0" w:afterAutospacing="0"/>
        <w:divId w:val="1888711994"/>
        <w:rPr>
          <w:sz w:val="22"/>
          <w:szCs w:val="22"/>
        </w:rPr>
      </w:pPr>
      <w:r>
        <w:rPr>
          <w:sz w:val="22"/>
          <w:szCs w:val="22"/>
        </w:rPr>
        <w:t>The assessment of efficacy and immunogenicity of Nuvaxovid in adolescent participants 12 through 17 years of age occurred in the United States in the ongoing paediatric expansion portion of the Phase 3 multicentre, randomised, observer-blinded, placebo-controlled 2019nCoV-301</w:t>
      </w:r>
      <w:r>
        <w:rPr>
          <w:rStyle w:val="Emphasis"/>
          <w:sz w:val="22"/>
          <w:szCs w:val="22"/>
        </w:rPr>
        <w:t xml:space="preserve"> </w:t>
      </w:r>
      <w:r>
        <w:rPr>
          <w:sz w:val="22"/>
          <w:szCs w:val="22"/>
        </w:rPr>
        <w:t>study. A total of 1,799 participants, assigned in a 2:1 ratio to receive two doses of Nuvaxovid (n=1,205) or placebo (n=594) by intramuscular injection 21 </w:t>
      </w:r>
      <w:r>
        <w:rPr>
          <w:sz w:val="22"/>
          <w:szCs w:val="22"/>
        </w:rPr>
        <w:t>days apart, represented the Per Protocol Efficacy population. Participants with confirmed infection or prior infection due to SARSCoV-2 at the time of randomisation were not included in the primary efficacy analysis.</w:t>
      </w:r>
      <w:r>
        <w:rPr>
          <w:rStyle w:val="Emphasis"/>
          <w:sz w:val="22"/>
          <w:szCs w:val="22"/>
        </w:rPr>
        <w:t xml:space="preserve"> </w:t>
      </w:r>
    </w:p>
    <w:p w14:paraId="2991A8EB" w14:textId="77777777" w:rsidR="002B02D6" w:rsidRDefault="002B02D6">
      <w:pPr>
        <w:pStyle w:val="NormalWeb"/>
        <w:spacing w:before="0" w:beforeAutospacing="0" w:after="0" w:afterAutospacing="0"/>
        <w:divId w:val="1888711994"/>
        <w:rPr>
          <w:sz w:val="22"/>
          <w:szCs w:val="22"/>
        </w:rPr>
      </w:pPr>
      <w:r>
        <w:rPr>
          <w:sz w:val="22"/>
          <w:szCs w:val="22"/>
        </w:rPr>
        <w:t> </w:t>
      </w:r>
    </w:p>
    <w:p w14:paraId="540A0CB2" w14:textId="77777777" w:rsidR="002B02D6" w:rsidRDefault="002B02D6">
      <w:pPr>
        <w:pStyle w:val="NormalWeb"/>
        <w:spacing w:before="0" w:beforeAutospacing="0" w:after="0" w:afterAutospacing="0"/>
        <w:divId w:val="1888711994"/>
        <w:rPr>
          <w:sz w:val="22"/>
          <w:szCs w:val="22"/>
        </w:rPr>
      </w:pPr>
      <w:r>
        <w:rPr>
          <w:sz w:val="22"/>
          <w:szCs w:val="22"/>
        </w:rPr>
        <w:t>Enrolment of adolescents completed in June 2021. Participants were followed for up to 24 </w:t>
      </w:r>
      <w:r>
        <w:rPr>
          <w:sz w:val="22"/>
          <w:szCs w:val="22"/>
        </w:rPr>
        <w:t>months after the second dose for assessments of safety, efficacy, and immunogenicity against COVID-19. Following a 60-day safety follow-up period, initial adolescent recipients of placebo were invited to receive two injections of Nuvaxovid 21 days apart and initial recipients of Nuvaxovid to receive two injections of placebo 21 days apart (“blinded crossover”). All participants were offered the opportunity to continue to be followed in the study.</w:t>
      </w:r>
      <w:r>
        <w:rPr>
          <w:rStyle w:val="Emphasis"/>
          <w:rFonts w:ascii="Calibri" w:hAnsi="Calibri" w:cs="Calibri"/>
          <w:color w:val="0070C0"/>
          <w:sz w:val="20"/>
          <w:szCs w:val="20"/>
        </w:rPr>
        <w:t xml:space="preserve"> </w:t>
      </w:r>
    </w:p>
    <w:p w14:paraId="2095F3E4" w14:textId="77777777" w:rsidR="002B02D6" w:rsidRDefault="002B02D6">
      <w:pPr>
        <w:pStyle w:val="NormalWeb"/>
        <w:spacing w:before="0" w:beforeAutospacing="0" w:after="0" w:afterAutospacing="0"/>
        <w:divId w:val="1888711994"/>
        <w:rPr>
          <w:sz w:val="22"/>
          <w:szCs w:val="22"/>
        </w:rPr>
      </w:pPr>
      <w:r>
        <w:rPr>
          <w:sz w:val="22"/>
          <w:szCs w:val="22"/>
        </w:rPr>
        <w:t> </w:t>
      </w:r>
    </w:p>
    <w:p w14:paraId="33BA2288" w14:textId="77777777" w:rsidR="002B02D6" w:rsidRDefault="002B02D6">
      <w:pPr>
        <w:pStyle w:val="NormalWeb"/>
        <w:spacing w:before="0" w:beforeAutospacing="0" w:after="0" w:afterAutospacing="0"/>
        <w:divId w:val="1888711994"/>
        <w:rPr>
          <w:sz w:val="22"/>
          <w:szCs w:val="22"/>
        </w:rPr>
      </w:pPr>
      <w:r>
        <w:rPr>
          <w:sz w:val="22"/>
          <w:szCs w:val="22"/>
        </w:rPr>
        <w:t>COVID-19 was defined as first episode of PCR-confirmed mild, moderate, or severe COVID-19 with at least one or more of the predefined symptoms within each severity category. Mild COVID-19 was defined as fever, new onset cough or at least 2 or more additional COVID-19 symptoms.</w:t>
      </w:r>
    </w:p>
    <w:p w14:paraId="06CB97CC" w14:textId="77777777" w:rsidR="002B02D6" w:rsidRDefault="002B02D6">
      <w:pPr>
        <w:pStyle w:val="NormalWeb"/>
        <w:spacing w:before="0" w:beforeAutospacing="0" w:after="0" w:afterAutospacing="0"/>
        <w:divId w:val="1888711994"/>
        <w:rPr>
          <w:sz w:val="22"/>
          <w:szCs w:val="22"/>
        </w:rPr>
      </w:pPr>
      <w:r>
        <w:rPr>
          <w:sz w:val="22"/>
          <w:szCs w:val="22"/>
        </w:rPr>
        <w:t> </w:t>
      </w:r>
    </w:p>
    <w:p w14:paraId="4B8B1F29" w14:textId="77777777" w:rsidR="002B02D6" w:rsidRDefault="002B02D6">
      <w:pPr>
        <w:pStyle w:val="NormalWeb"/>
        <w:spacing w:before="0" w:beforeAutospacing="0" w:after="0" w:afterAutospacing="0"/>
        <w:divId w:val="1888711994"/>
        <w:rPr>
          <w:sz w:val="22"/>
          <w:szCs w:val="22"/>
        </w:rPr>
      </w:pPr>
      <w:r>
        <w:rPr>
          <w:sz w:val="22"/>
          <w:szCs w:val="22"/>
        </w:rPr>
        <w:t>There were 20 cases of PCR-confirmed symptomatic mild COVID-19 (Nuvaxovid, n=6 [0.5%]; placebo, n=14 [2.4%]) resulting in a point estimate of efficacy of 79.5% (95% CI: 46.8%, 92.1%).</w:t>
      </w:r>
    </w:p>
    <w:p w14:paraId="33374E9F" w14:textId="77777777" w:rsidR="002B02D6" w:rsidRDefault="002B02D6">
      <w:pPr>
        <w:pStyle w:val="NormalWeb"/>
        <w:spacing w:before="0" w:beforeAutospacing="0" w:after="0" w:afterAutospacing="0"/>
        <w:divId w:val="1888711994"/>
        <w:rPr>
          <w:sz w:val="22"/>
          <w:szCs w:val="22"/>
        </w:rPr>
      </w:pPr>
      <w:r>
        <w:rPr>
          <w:sz w:val="22"/>
          <w:szCs w:val="22"/>
        </w:rPr>
        <w:t> </w:t>
      </w:r>
    </w:p>
    <w:p w14:paraId="6BD004B9" w14:textId="77777777" w:rsidR="002B02D6" w:rsidRDefault="002B02D6">
      <w:pPr>
        <w:pStyle w:val="NormalWeb"/>
        <w:spacing w:before="0" w:beforeAutospacing="0" w:after="0" w:afterAutospacing="0"/>
        <w:divId w:val="1888711994"/>
        <w:rPr>
          <w:sz w:val="22"/>
          <w:szCs w:val="22"/>
        </w:rPr>
      </w:pPr>
      <w:r>
        <w:rPr>
          <w:sz w:val="22"/>
          <w:szCs w:val="22"/>
        </w:rPr>
        <w:t>At the time of this analysis, the Delta (B.1.617.2 and AY lineages) variant of concern (VOC) was the predominant variant circulating in the US and accounted for all cases from which sequence data are available (11/20, 55%).</w:t>
      </w:r>
    </w:p>
    <w:p w14:paraId="26521AAE" w14:textId="77777777" w:rsidR="002B02D6" w:rsidRDefault="002B02D6">
      <w:pPr>
        <w:pStyle w:val="NormalWeb"/>
        <w:spacing w:before="0" w:beforeAutospacing="0" w:after="0" w:afterAutospacing="0"/>
        <w:divId w:val="1888711994"/>
        <w:rPr>
          <w:sz w:val="22"/>
          <w:szCs w:val="22"/>
        </w:rPr>
      </w:pPr>
      <w:r>
        <w:rPr>
          <w:sz w:val="22"/>
          <w:szCs w:val="22"/>
        </w:rPr>
        <w:t> </w:t>
      </w:r>
    </w:p>
    <w:p w14:paraId="36D64739" w14:textId="77777777" w:rsidR="002B02D6" w:rsidRDefault="002B02D6">
      <w:pPr>
        <w:pStyle w:val="NormalWeb"/>
        <w:spacing w:before="0" w:beforeAutospacing="0" w:after="0" w:afterAutospacing="0"/>
        <w:divId w:val="1888711994"/>
        <w:rPr>
          <w:sz w:val="22"/>
          <w:szCs w:val="22"/>
        </w:rPr>
      </w:pPr>
      <w:r>
        <w:rPr>
          <w:rStyle w:val="Emphasis"/>
          <w:sz w:val="22"/>
          <w:szCs w:val="22"/>
        </w:rPr>
        <w:t>Immunogenicity in adolescents 12 through 17</w:t>
      </w:r>
      <w:r>
        <w:rPr>
          <w:sz w:val="22"/>
          <w:szCs w:val="22"/>
        </w:rPr>
        <w:t> </w:t>
      </w:r>
      <w:r>
        <w:rPr>
          <w:rStyle w:val="Emphasis"/>
          <w:sz w:val="22"/>
          <w:szCs w:val="22"/>
        </w:rPr>
        <w:t>years of age</w:t>
      </w:r>
    </w:p>
    <w:p w14:paraId="55773085" w14:textId="77777777" w:rsidR="002B02D6" w:rsidRDefault="002B02D6">
      <w:pPr>
        <w:pStyle w:val="NormalWeb"/>
        <w:spacing w:before="0" w:beforeAutospacing="0" w:after="0" w:afterAutospacing="0"/>
        <w:divId w:val="1888711994"/>
        <w:rPr>
          <w:sz w:val="22"/>
          <w:szCs w:val="22"/>
        </w:rPr>
      </w:pPr>
      <w:r>
        <w:rPr>
          <w:sz w:val="22"/>
          <w:szCs w:val="22"/>
        </w:rPr>
        <w:t>An analysis of the SARS-CoV-2 neutralising antibody response 14 </w:t>
      </w:r>
      <w:r>
        <w:rPr>
          <w:sz w:val="22"/>
          <w:szCs w:val="22"/>
        </w:rPr>
        <w:t>days after Dose 2 (Day 35) was conducted in adolescent participants seronegative to anti-SARS-CoV-2 nucleoprotein (NP) and PCR-negative at baseline. Neutralising antibody responses were compared with those observed in seronegative/PCR-negative adult participants aged 18 through 25 years from the adult main study (Per Protocol Immunogenicity (PP-IMM) Analysis Set) as shown in Table 3. Noninferiority required that the following three criteria were met: lower</w:t>
      </w:r>
      <w:r>
        <w:rPr>
          <w:rStyle w:val="Emphasis"/>
          <w:rFonts w:ascii="Segoe UI" w:hAnsi="Segoe UI" w:cs="Segoe UI"/>
          <w:sz w:val="22"/>
          <w:szCs w:val="22"/>
        </w:rPr>
        <w:t xml:space="preserve"> </w:t>
      </w:r>
      <w:r>
        <w:rPr>
          <w:sz w:val="22"/>
          <w:szCs w:val="22"/>
        </w:rPr>
        <w:t>bound of two-sided 95% CI for the ratio of geometric mean titers (GMTs) (GMT 12 through 17 years/GMT 18 through 25 years) &gt; 0.67; point estimate of the ratio of GMTs ≥ 0.82; and the lower bound of the two-sided 95% CI for difference of seroconversion rates (SCRs) (SCR 12 through 17 years minus SCR 18 through 25 years) &gt; -10%. These noninferiority criteria were met.</w:t>
      </w:r>
    </w:p>
    <w:p w14:paraId="588D3DD9" w14:textId="77777777" w:rsidR="002B02D6" w:rsidRDefault="002B02D6">
      <w:pPr>
        <w:pStyle w:val="NormalWeb"/>
        <w:spacing w:before="0" w:beforeAutospacing="0" w:after="40" w:afterAutospacing="0"/>
        <w:divId w:val="1888711994"/>
        <w:rPr>
          <w:sz w:val="22"/>
          <w:szCs w:val="22"/>
        </w:rPr>
      </w:pPr>
      <w:r>
        <w:rPr>
          <w:sz w:val="22"/>
          <w:szCs w:val="22"/>
        </w:rPr>
        <w:t> </w:t>
      </w:r>
    </w:p>
    <w:p w14:paraId="3D8A9E60" w14:textId="77777777" w:rsidR="002B02D6" w:rsidRDefault="002B02D6">
      <w:pPr>
        <w:pStyle w:val="NormalWeb"/>
        <w:spacing w:before="0" w:beforeAutospacing="0" w:after="40" w:afterAutospacing="0"/>
        <w:divId w:val="1888711994"/>
        <w:rPr>
          <w:sz w:val="22"/>
          <w:szCs w:val="22"/>
        </w:rPr>
      </w:pPr>
      <w:r>
        <w:rPr>
          <w:rStyle w:val="Strong"/>
          <w:sz w:val="22"/>
          <w:szCs w:val="22"/>
        </w:rPr>
        <w:t>Table 3</w:t>
      </w:r>
      <w:r>
        <w:rPr>
          <w:sz w:val="22"/>
          <w:szCs w:val="22"/>
        </w:rPr>
        <w:t xml:space="preserve"> :</w:t>
      </w:r>
      <w:r>
        <w:rPr>
          <w:rStyle w:val="Strong"/>
          <w:sz w:val="22"/>
          <w:szCs w:val="22"/>
        </w:rPr>
        <w:t xml:space="preserve"> </w:t>
      </w:r>
      <w:r>
        <w:rPr>
          <w:rStyle w:val="Strong"/>
          <w:sz w:val="22"/>
          <w:szCs w:val="22"/>
        </w:rPr>
        <w:t>Adjusted Ratio of Geometric Mean of Microneutralisation Assay Neutralising Antibody Titers for SARS-CoV-2 S Wild-Type Virus at Day 35 Overall and Presented by Age Group (PP-IMM Analysis Set)</w:t>
      </w:r>
      <w:r>
        <w:rPr>
          <w:rStyle w:val="Strong"/>
          <w:sz w:val="22"/>
          <w:szCs w:val="22"/>
          <w:vertAlign w:val="superscript"/>
        </w:rPr>
        <w:t>1</w:t>
      </w:r>
    </w:p>
    <w:tbl>
      <w:tblPr>
        <w:tblW w:w="9172" w:type="dxa"/>
        <w:tblCellMar>
          <w:left w:w="0" w:type="dxa"/>
          <w:right w:w="0" w:type="dxa"/>
        </w:tblCellMar>
        <w:tblLook w:val="04A0" w:firstRow="1" w:lastRow="0" w:firstColumn="1" w:lastColumn="0" w:noHBand="0" w:noVBand="1"/>
      </w:tblPr>
      <w:tblGrid>
        <w:gridCol w:w="2062"/>
        <w:gridCol w:w="1249"/>
        <w:gridCol w:w="1991"/>
        <w:gridCol w:w="2070"/>
        <w:gridCol w:w="1800"/>
      </w:tblGrid>
      <w:tr w:rsidR="00000000" w14:paraId="4DB6982F" w14:textId="77777777">
        <w:trPr>
          <w:divId w:val="1888711994"/>
          <w:trHeight w:val="850"/>
        </w:trPr>
        <w:tc>
          <w:tcPr>
            <w:tcW w:w="20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EA9BF9" w14:textId="77777777" w:rsidR="002B02D6" w:rsidRDefault="002B02D6">
            <w:pPr>
              <w:pStyle w:val="NormalWeb"/>
              <w:spacing w:before="0" w:beforeAutospacing="0" w:after="0" w:afterAutospacing="0"/>
              <w:rPr>
                <w:sz w:val="22"/>
                <w:szCs w:val="22"/>
              </w:rPr>
            </w:pPr>
            <w:r>
              <w:rPr>
                <w:rStyle w:val="Strong"/>
                <w:sz w:val="20"/>
                <w:szCs w:val="20"/>
              </w:rPr>
              <w:t> </w:t>
            </w:r>
          </w:p>
          <w:p w14:paraId="086E63CC" w14:textId="77777777" w:rsidR="002B02D6" w:rsidRDefault="002B02D6">
            <w:pPr>
              <w:pStyle w:val="NormalWeb"/>
              <w:spacing w:before="0" w:beforeAutospacing="0" w:after="0" w:afterAutospacing="0"/>
              <w:rPr>
                <w:sz w:val="22"/>
                <w:szCs w:val="22"/>
              </w:rPr>
            </w:pPr>
            <w:r>
              <w:rPr>
                <w:rStyle w:val="Strong"/>
                <w:sz w:val="20"/>
                <w:szCs w:val="20"/>
              </w:rPr>
              <w:t>Assay</w:t>
            </w:r>
          </w:p>
        </w:tc>
        <w:tc>
          <w:tcPr>
            <w:tcW w:w="12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F72F67" w14:textId="77777777" w:rsidR="002B02D6" w:rsidRDefault="002B02D6">
            <w:pPr>
              <w:pStyle w:val="NormalWeb"/>
              <w:spacing w:before="0" w:beforeAutospacing="0" w:after="0" w:afterAutospacing="0"/>
              <w:rPr>
                <w:sz w:val="22"/>
                <w:szCs w:val="22"/>
              </w:rPr>
            </w:pPr>
            <w:r>
              <w:rPr>
                <w:rStyle w:val="Strong"/>
                <w:sz w:val="20"/>
                <w:szCs w:val="20"/>
              </w:rPr>
              <w:t> </w:t>
            </w:r>
          </w:p>
          <w:p w14:paraId="5EE22EEC" w14:textId="77777777" w:rsidR="002B02D6" w:rsidRDefault="002B02D6">
            <w:pPr>
              <w:pStyle w:val="NormalWeb"/>
              <w:spacing w:before="0" w:beforeAutospacing="0" w:after="0" w:afterAutospacing="0"/>
              <w:rPr>
                <w:sz w:val="22"/>
                <w:szCs w:val="22"/>
              </w:rPr>
            </w:pPr>
            <w:r>
              <w:rPr>
                <w:rStyle w:val="Strong"/>
                <w:sz w:val="20"/>
                <w:szCs w:val="20"/>
              </w:rPr>
              <w:t> </w:t>
            </w:r>
          </w:p>
          <w:p w14:paraId="262F0FE4" w14:textId="77777777" w:rsidR="002B02D6" w:rsidRDefault="002B02D6">
            <w:pPr>
              <w:pStyle w:val="NormalWeb"/>
              <w:spacing w:before="0" w:beforeAutospacing="0" w:after="0" w:afterAutospacing="0"/>
              <w:rPr>
                <w:sz w:val="22"/>
                <w:szCs w:val="22"/>
              </w:rPr>
            </w:pPr>
            <w:r>
              <w:rPr>
                <w:rStyle w:val="Strong"/>
                <w:sz w:val="20"/>
                <w:szCs w:val="20"/>
              </w:rPr>
              <w:t>Timepoint</w:t>
            </w:r>
          </w:p>
        </w:tc>
        <w:tc>
          <w:tcPr>
            <w:tcW w:w="199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8176D7" w14:textId="77777777" w:rsidR="002B02D6" w:rsidRDefault="002B02D6">
            <w:pPr>
              <w:pStyle w:val="NormalWeb"/>
              <w:spacing w:before="0" w:beforeAutospacing="0" w:after="0" w:afterAutospacing="0"/>
              <w:ind w:left="-100" w:right="-110"/>
              <w:jc w:val="center"/>
              <w:rPr>
                <w:sz w:val="22"/>
                <w:szCs w:val="22"/>
              </w:rPr>
            </w:pPr>
            <w:r>
              <w:rPr>
                <w:rStyle w:val="Strong"/>
                <w:sz w:val="20"/>
                <w:szCs w:val="20"/>
              </w:rPr>
              <w:t>Paediatric Expansion (12 through 17 Years)</w:t>
            </w:r>
          </w:p>
          <w:p w14:paraId="5FB90E37" w14:textId="77777777" w:rsidR="002B02D6" w:rsidRDefault="002B02D6">
            <w:pPr>
              <w:pStyle w:val="NormalWeb"/>
              <w:spacing w:before="60" w:beforeAutospacing="0" w:after="60" w:afterAutospacing="0"/>
              <w:jc w:val="center"/>
              <w:rPr>
                <w:sz w:val="22"/>
                <w:szCs w:val="22"/>
              </w:rPr>
            </w:pPr>
            <w:r>
              <w:rPr>
                <w:rStyle w:val="Strong"/>
                <w:sz w:val="20"/>
                <w:szCs w:val="20"/>
              </w:rPr>
              <w:t>N=390</w:t>
            </w:r>
          </w:p>
        </w:tc>
        <w:tc>
          <w:tcPr>
            <w:tcW w:w="20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633469" w14:textId="77777777" w:rsidR="002B02D6" w:rsidRDefault="002B02D6">
            <w:pPr>
              <w:pStyle w:val="NormalWeb"/>
              <w:spacing w:before="0" w:beforeAutospacing="0" w:after="0" w:afterAutospacing="0"/>
              <w:ind w:left="-110" w:right="-110"/>
              <w:jc w:val="center"/>
              <w:rPr>
                <w:sz w:val="22"/>
                <w:szCs w:val="22"/>
              </w:rPr>
            </w:pPr>
            <w:r>
              <w:rPr>
                <w:rStyle w:val="Strong"/>
                <w:sz w:val="20"/>
                <w:szCs w:val="20"/>
              </w:rPr>
              <w:t>Adult Main Study</w:t>
            </w:r>
            <w:r>
              <w:rPr>
                <w:sz w:val="22"/>
                <w:szCs w:val="22"/>
              </w:rPr>
              <w:br/>
            </w:r>
            <w:r>
              <w:rPr>
                <w:rStyle w:val="Strong"/>
                <w:sz w:val="20"/>
                <w:szCs w:val="20"/>
              </w:rPr>
              <w:t>(18</w:t>
            </w:r>
            <w:r>
              <w:rPr>
                <w:sz w:val="22"/>
                <w:szCs w:val="22"/>
              </w:rPr>
              <w:t> </w:t>
            </w:r>
            <w:r>
              <w:rPr>
                <w:rStyle w:val="Strong"/>
                <w:sz w:val="20"/>
                <w:szCs w:val="20"/>
              </w:rPr>
              <w:t>through 25 Years)</w:t>
            </w:r>
          </w:p>
          <w:p w14:paraId="4DDE9794" w14:textId="77777777" w:rsidR="002B02D6" w:rsidRDefault="002B02D6">
            <w:pPr>
              <w:pStyle w:val="NormalWeb"/>
              <w:spacing w:before="60" w:beforeAutospacing="0" w:after="60" w:afterAutospacing="0"/>
              <w:jc w:val="center"/>
              <w:rPr>
                <w:sz w:val="22"/>
                <w:szCs w:val="22"/>
              </w:rPr>
            </w:pPr>
            <w:r>
              <w:rPr>
                <w:rStyle w:val="Strong"/>
                <w:sz w:val="20"/>
                <w:szCs w:val="20"/>
              </w:rPr>
              <w:t>N=416</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F69F722" w14:textId="77777777" w:rsidR="002B02D6" w:rsidRDefault="002B02D6">
            <w:pPr>
              <w:pStyle w:val="NormalWeb"/>
              <w:spacing w:before="0" w:beforeAutospacing="0" w:after="0" w:afterAutospacing="0"/>
              <w:jc w:val="center"/>
              <w:rPr>
                <w:sz w:val="22"/>
                <w:szCs w:val="22"/>
              </w:rPr>
            </w:pPr>
            <w:r>
              <w:rPr>
                <w:rStyle w:val="Strong"/>
                <w:sz w:val="20"/>
                <w:szCs w:val="20"/>
              </w:rPr>
              <w:t>12</w:t>
            </w:r>
            <w:r>
              <w:rPr>
                <w:sz w:val="22"/>
                <w:szCs w:val="22"/>
              </w:rPr>
              <w:t> </w:t>
            </w:r>
            <w:r>
              <w:rPr>
                <w:rStyle w:val="Strong"/>
                <w:sz w:val="20"/>
                <w:szCs w:val="20"/>
              </w:rPr>
              <w:t>through</w:t>
            </w:r>
            <w:r>
              <w:rPr>
                <w:sz w:val="22"/>
                <w:szCs w:val="22"/>
              </w:rPr>
              <w:t> </w:t>
            </w:r>
            <w:r>
              <w:rPr>
                <w:rStyle w:val="Strong"/>
                <w:sz w:val="20"/>
                <w:szCs w:val="20"/>
              </w:rPr>
              <w:t xml:space="preserve">17 Years </w:t>
            </w:r>
          </w:p>
          <w:p w14:paraId="4F3AC28B" w14:textId="77777777" w:rsidR="002B02D6" w:rsidRDefault="002B02D6">
            <w:pPr>
              <w:pStyle w:val="NormalWeb"/>
              <w:spacing w:before="0" w:beforeAutospacing="0" w:after="0" w:afterAutospacing="0"/>
              <w:jc w:val="center"/>
              <w:rPr>
                <w:sz w:val="22"/>
                <w:szCs w:val="22"/>
              </w:rPr>
            </w:pPr>
            <w:r>
              <w:rPr>
                <w:rStyle w:val="Strong"/>
                <w:sz w:val="20"/>
                <w:szCs w:val="20"/>
              </w:rPr>
              <w:t>versus</w:t>
            </w:r>
          </w:p>
          <w:p w14:paraId="1C463D9E" w14:textId="77777777" w:rsidR="002B02D6" w:rsidRDefault="002B02D6">
            <w:pPr>
              <w:pStyle w:val="NormalWeb"/>
              <w:spacing w:before="0" w:beforeAutospacing="0" w:after="0" w:afterAutospacing="0"/>
              <w:jc w:val="center"/>
              <w:rPr>
                <w:sz w:val="22"/>
                <w:szCs w:val="22"/>
              </w:rPr>
            </w:pPr>
            <w:r>
              <w:rPr>
                <w:rStyle w:val="Strong"/>
                <w:sz w:val="20"/>
                <w:szCs w:val="20"/>
              </w:rPr>
              <w:t>18 through 25 Years</w:t>
            </w:r>
          </w:p>
        </w:tc>
      </w:tr>
      <w:tr w:rsidR="00000000" w14:paraId="0887DCA0" w14:textId="77777777">
        <w:trPr>
          <w:divId w:val="1888711994"/>
          <w:trHeight w:val="667"/>
        </w:trPr>
        <w:tc>
          <w:tcPr>
            <w:tcW w:w="2062" w:type="dxa"/>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70F92F58" w14:textId="77777777" w:rsidR="002B02D6" w:rsidRDefault="002B02D6">
            <w:pPr>
              <w:pStyle w:val="NormalWeb"/>
              <w:spacing w:before="60" w:beforeAutospacing="0" w:after="60" w:afterAutospacing="0"/>
              <w:ind w:left="60"/>
              <w:rPr>
                <w:sz w:val="22"/>
                <w:szCs w:val="22"/>
              </w:rPr>
            </w:pPr>
            <w:r>
              <w:rPr>
                <w:sz w:val="22"/>
                <w:szCs w:val="22"/>
              </w:rPr>
              <w:t> </w:t>
            </w:r>
          </w:p>
        </w:tc>
        <w:tc>
          <w:tcPr>
            <w:tcW w:w="1249" w:type="dxa"/>
            <w:tcBorders>
              <w:top w:val="nil"/>
              <w:left w:val="nil"/>
              <w:bottom w:val="nil"/>
              <w:right w:val="single" w:sz="8" w:space="0" w:color="auto"/>
            </w:tcBorders>
            <w:shd w:val="clear" w:color="auto" w:fill="FFFFFF"/>
            <w:tcMar>
              <w:top w:w="0" w:type="dxa"/>
              <w:left w:w="108" w:type="dxa"/>
              <w:bottom w:w="0" w:type="dxa"/>
              <w:right w:w="108" w:type="dxa"/>
            </w:tcMar>
            <w:hideMark/>
          </w:tcPr>
          <w:p w14:paraId="229A2EDE" w14:textId="77777777" w:rsidR="002B02D6" w:rsidRDefault="002B02D6">
            <w:pPr>
              <w:pStyle w:val="NormalWeb"/>
              <w:spacing w:before="60" w:beforeAutospacing="0" w:after="60" w:afterAutospacing="0"/>
              <w:jc w:val="center"/>
              <w:rPr>
                <w:sz w:val="22"/>
                <w:szCs w:val="22"/>
              </w:rPr>
            </w:pPr>
            <w:r>
              <w:rPr>
                <w:sz w:val="22"/>
                <w:szCs w:val="22"/>
              </w:rPr>
              <w:t> </w:t>
            </w:r>
          </w:p>
        </w:tc>
        <w:tc>
          <w:tcPr>
            <w:tcW w:w="1991" w:type="dxa"/>
            <w:tcBorders>
              <w:top w:val="nil"/>
              <w:left w:val="nil"/>
              <w:bottom w:val="nil"/>
              <w:right w:val="single" w:sz="8" w:space="0" w:color="auto"/>
            </w:tcBorders>
            <w:shd w:val="clear" w:color="auto" w:fill="FFFFFF"/>
            <w:tcMar>
              <w:top w:w="0" w:type="dxa"/>
              <w:left w:w="108" w:type="dxa"/>
              <w:bottom w:w="0" w:type="dxa"/>
              <w:right w:w="108" w:type="dxa"/>
            </w:tcMar>
            <w:hideMark/>
          </w:tcPr>
          <w:p w14:paraId="1004C3B5" w14:textId="77777777" w:rsidR="002B02D6" w:rsidRDefault="002B02D6">
            <w:pPr>
              <w:pStyle w:val="NormalWeb"/>
              <w:spacing w:before="60" w:beforeAutospacing="0" w:after="60" w:afterAutospacing="0"/>
              <w:jc w:val="center"/>
              <w:rPr>
                <w:sz w:val="22"/>
                <w:szCs w:val="22"/>
              </w:rPr>
            </w:pPr>
            <w:r>
              <w:rPr>
                <w:rStyle w:val="Strong"/>
                <w:color w:val="000000"/>
                <w:sz w:val="20"/>
                <w:szCs w:val="20"/>
              </w:rPr>
              <w:t>GMT</w:t>
            </w:r>
            <w:r>
              <w:rPr>
                <w:color w:val="000000"/>
                <w:sz w:val="22"/>
                <w:szCs w:val="22"/>
              </w:rPr>
              <w:br/>
            </w:r>
            <w:r>
              <w:rPr>
                <w:rStyle w:val="Strong"/>
                <w:color w:val="000000"/>
                <w:sz w:val="20"/>
                <w:szCs w:val="20"/>
              </w:rPr>
              <w:t>95% CI</w:t>
            </w:r>
            <w:r>
              <w:rPr>
                <w:rStyle w:val="Strong"/>
                <w:color w:val="000000"/>
                <w:sz w:val="20"/>
                <w:szCs w:val="20"/>
                <w:vertAlign w:val="superscript"/>
              </w:rPr>
              <w:t>2</w:t>
            </w:r>
          </w:p>
        </w:tc>
        <w:tc>
          <w:tcPr>
            <w:tcW w:w="2070" w:type="dxa"/>
            <w:tcBorders>
              <w:top w:val="nil"/>
              <w:left w:val="nil"/>
              <w:bottom w:val="nil"/>
              <w:right w:val="single" w:sz="8" w:space="0" w:color="auto"/>
            </w:tcBorders>
            <w:shd w:val="clear" w:color="auto" w:fill="FFFFFF"/>
            <w:tcMar>
              <w:top w:w="0" w:type="dxa"/>
              <w:left w:w="108" w:type="dxa"/>
              <w:bottom w:w="0" w:type="dxa"/>
              <w:right w:w="108" w:type="dxa"/>
            </w:tcMar>
            <w:hideMark/>
          </w:tcPr>
          <w:p w14:paraId="21D4AE0E" w14:textId="77777777" w:rsidR="002B02D6" w:rsidRDefault="002B02D6">
            <w:pPr>
              <w:pStyle w:val="NormalWeb"/>
              <w:spacing w:before="60" w:beforeAutospacing="0" w:after="60" w:afterAutospacing="0"/>
              <w:jc w:val="center"/>
              <w:rPr>
                <w:sz w:val="22"/>
                <w:szCs w:val="22"/>
              </w:rPr>
            </w:pPr>
            <w:r>
              <w:rPr>
                <w:rStyle w:val="Strong"/>
                <w:color w:val="000000"/>
                <w:sz w:val="20"/>
                <w:szCs w:val="20"/>
              </w:rPr>
              <w:t>GMT</w:t>
            </w:r>
            <w:r>
              <w:rPr>
                <w:color w:val="000000"/>
                <w:sz w:val="22"/>
                <w:szCs w:val="22"/>
              </w:rPr>
              <w:br/>
            </w:r>
            <w:r>
              <w:rPr>
                <w:rStyle w:val="Strong"/>
                <w:color w:val="000000"/>
                <w:sz w:val="20"/>
                <w:szCs w:val="20"/>
              </w:rPr>
              <w:t>95% CI</w:t>
            </w:r>
            <w:r>
              <w:rPr>
                <w:rStyle w:val="Strong"/>
                <w:color w:val="000000"/>
                <w:sz w:val="20"/>
                <w:szCs w:val="20"/>
                <w:vertAlign w:val="superscript"/>
              </w:rPr>
              <w:t>2</w:t>
            </w:r>
          </w:p>
        </w:tc>
        <w:tc>
          <w:tcPr>
            <w:tcW w:w="1800" w:type="dxa"/>
            <w:tcBorders>
              <w:top w:val="nil"/>
              <w:left w:val="nil"/>
              <w:bottom w:val="nil"/>
              <w:right w:val="single" w:sz="8" w:space="0" w:color="auto"/>
            </w:tcBorders>
            <w:shd w:val="clear" w:color="auto" w:fill="FFFFFF"/>
            <w:tcMar>
              <w:top w:w="0" w:type="dxa"/>
              <w:left w:w="108" w:type="dxa"/>
              <w:bottom w:w="0" w:type="dxa"/>
              <w:right w:w="108" w:type="dxa"/>
            </w:tcMar>
            <w:hideMark/>
          </w:tcPr>
          <w:p w14:paraId="77260482" w14:textId="77777777" w:rsidR="002B02D6" w:rsidRDefault="002B02D6">
            <w:pPr>
              <w:pStyle w:val="NormalWeb"/>
              <w:spacing w:before="60" w:beforeAutospacing="0" w:after="60" w:afterAutospacing="0"/>
              <w:jc w:val="center"/>
              <w:rPr>
                <w:sz w:val="22"/>
                <w:szCs w:val="22"/>
              </w:rPr>
            </w:pPr>
            <w:r>
              <w:rPr>
                <w:rStyle w:val="Strong"/>
                <w:color w:val="000000"/>
                <w:sz w:val="20"/>
                <w:szCs w:val="20"/>
              </w:rPr>
              <w:t>GMR</w:t>
            </w:r>
            <w:r>
              <w:rPr>
                <w:color w:val="000000"/>
                <w:sz w:val="22"/>
                <w:szCs w:val="22"/>
              </w:rPr>
              <w:br/>
            </w:r>
            <w:r>
              <w:rPr>
                <w:rStyle w:val="Strong"/>
                <w:color w:val="000000"/>
                <w:sz w:val="20"/>
                <w:szCs w:val="20"/>
              </w:rPr>
              <w:t>95% CI</w:t>
            </w:r>
            <w:r>
              <w:rPr>
                <w:rStyle w:val="Strong"/>
                <w:color w:val="000000"/>
                <w:sz w:val="20"/>
                <w:szCs w:val="20"/>
                <w:vertAlign w:val="superscript"/>
              </w:rPr>
              <w:t>2</w:t>
            </w:r>
          </w:p>
        </w:tc>
      </w:tr>
      <w:tr w:rsidR="00000000" w14:paraId="52706338" w14:textId="77777777">
        <w:trPr>
          <w:divId w:val="1888711994"/>
          <w:trHeight w:val="669"/>
        </w:trPr>
        <w:tc>
          <w:tcPr>
            <w:tcW w:w="206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F27A118" w14:textId="77777777" w:rsidR="002B02D6" w:rsidRDefault="002B02D6">
            <w:pPr>
              <w:pStyle w:val="NormalWeb"/>
              <w:spacing w:before="60" w:beforeAutospacing="0" w:after="60" w:afterAutospacing="0"/>
              <w:ind w:left="60" w:right="-105"/>
              <w:rPr>
                <w:sz w:val="22"/>
                <w:szCs w:val="22"/>
              </w:rPr>
            </w:pPr>
            <w:r>
              <w:rPr>
                <w:rStyle w:val="Strong"/>
                <w:color w:val="000000"/>
                <w:sz w:val="20"/>
                <w:szCs w:val="20"/>
              </w:rPr>
              <w:t>Microneutralisation</w:t>
            </w:r>
            <w:r>
              <w:rPr>
                <w:color w:val="000000"/>
                <w:sz w:val="22"/>
                <w:szCs w:val="22"/>
              </w:rPr>
              <w:br/>
            </w:r>
            <w:r>
              <w:rPr>
                <w:rStyle w:val="Strong"/>
                <w:color w:val="000000"/>
                <w:sz w:val="20"/>
                <w:szCs w:val="20"/>
              </w:rPr>
              <w:t>(1/dilution)</w:t>
            </w:r>
          </w:p>
        </w:tc>
        <w:tc>
          <w:tcPr>
            <w:tcW w:w="124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E5BEDB0" w14:textId="77777777" w:rsidR="002B02D6" w:rsidRDefault="002B02D6">
            <w:pPr>
              <w:pStyle w:val="NormalWeb"/>
              <w:spacing w:before="60" w:beforeAutospacing="0" w:after="60" w:afterAutospacing="0"/>
              <w:jc w:val="center"/>
              <w:rPr>
                <w:sz w:val="22"/>
                <w:szCs w:val="22"/>
              </w:rPr>
            </w:pPr>
            <w:r>
              <w:rPr>
                <w:color w:val="000000"/>
                <w:sz w:val="20"/>
                <w:szCs w:val="20"/>
              </w:rPr>
              <w:t>Day 35 (14 days after Dose 2)</w:t>
            </w:r>
          </w:p>
        </w:tc>
        <w:tc>
          <w:tcPr>
            <w:tcW w:w="199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7BA35DA" w14:textId="77777777" w:rsidR="002B02D6" w:rsidRDefault="002B02D6">
            <w:pPr>
              <w:pStyle w:val="NormalWeb"/>
              <w:spacing w:before="60" w:beforeAutospacing="0" w:after="60" w:afterAutospacing="0"/>
              <w:jc w:val="center"/>
              <w:rPr>
                <w:sz w:val="22"/>
                <w:szCs w:val="22"/>
              </w:rPr>
            </w:pPr>
            <w:r>
              <w:rPr>
                <w:color w:val="000000"/>
                <w:sz w:val="20"/>
                <w:szCs w:val="20"/>
              </w:rPr>
              <w:t>3859.6</w:t>
            </w:r>
            <w:r>
              <w:rPr>
                <w:color w:val="000000"/>
                <w:sz w:val="22"/>
                <w:szCs w:val="22"/>
              </w:rPr>
              <w:br/>
            </w:r>
            <w:r>
              <w:rPr>
                <w:color w:val="000000"/>
                <w:sz w:val="20"/>
                <w:szCs w:val="20"/>
              </w:rPr>
              <w:t>(3422.8, 4352.1)</w:t>
            </w:r>
          </w:p>
        </w:tc>
        <w:tc>
          <w:tcPr>
            <w:tcW w:w="20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DB0DFE3" w14:textId="77777777" w:rsidR="002B02D6" w:rsidRDefault="002B02D6">
            <w:pPr>
              <w:pStyle w:val="NormalWeb"/>
              <w:spacing w:before="60" w:beforeAutospacing="0" w:after="60" w:afterAutospacing="0"/>
              <w:jc w:val="center"/>
              <w:rPr>
                <w:sz w:val="22"/>
                <w:szCs w:val="22"/>
              </w:rPr>
            </w:pPr>
            <w:r>
              <w:rPr>
                <w:color w:val="000000"/>
                <w:sz w:val="20"/>
                <w:szCs w:val="20"/>
              </w:rPr>
              <w:t>2633.6</w:t>
            </w:r>
            <w:r>
              <w:rPr>
                <w:color w:val="000000"/>
                <w:sz w:val="22"/>
                <w:szCs w:val="22"/>
              </w:rPr>
              <w:br/>
            </w:r>
            <w:r>
              <w:rPr>
                <w:color w:val="000000"/>
                <w:sz w:val="20"/>
                <w:szCs w:val="20"/>
              </w:rPr>
              <w:t>(2388.6, 2903.6)</w:t>
            </w:r>
          </w:p>
        </w:tc>
        <w:tc>
          <w:tcPr>
            <w:tcW w:w="18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589CC53" w14:textId="77777777" w:rsidR="002B02D6" w:rsidRDefault="002B02D6">
            <w:pPr>
              <w:pStyle w:val="NormalWeb"/>
              <w:spacing w:before="60" w:beforeAutospacing="0" w:after="60" w:afterAutospacing="0"/>
              <w:jc w:val="center"/>
              <w:rPr>
                <w:sz w:val="22"/>
                <w:szCs w:val="22"/>
              </w:rPr>
            </w:pPr>
            <w:r>
              <w:rPr>
                <w:color w:val="000000"/>
                <w:sz w:val="20"/>
                <w:szCs w:val="20"/>
              </w:rPr>
              <w:t>1.46</w:t>
            </w:r>
            <w:r>
              <w:rPr>
                <w:color w:val="000000"/>
                <w:sz w:val="22"/>
                <w:szCs w:val="22"/>
              </w:rPr>
              <w:br/>
            </w:r>
            <w:r>
              <w:rPr>
                <w:color w:val="000000"/>
                <w:sz w:val="20"/>
                <w:szCs w:val="20"/>
              </w:rPr>
              <w:t>(1.25, 1.71)</w:t>
            </w:r>
            <w:r>
              <w:rPr>
                <w:color w:val="000000"/>
                <w:sz w:val="20"/>
                <w:szCs w:val="20"/>
                <w:vertAlign w:val="superscript"/>
              </w:rPr>
              <w:t>3</w:t>
            </w:r>
          </w:p>
        </w:tc>
      </w:tr>
    </w:tbl>
    <w:p w14:paraId="3C9B37BB" w14:textId="77777777" w:rsidR="002B02D6" w:rsidRDefault="002B02D6">
      <w:pPr>
        <w:pStyle w:val="NormalWeb"/>
        <w:spacing w:before="0" w:beforeAutospacing="0" w:after="0" w:afterAutospacing="0" w:line="260" w:lineRule="atLeast"/>
        <w:ind w:right="102"/>
        <w:divId w:val="1888711994"/>
        <w:rPr>
          <w:sz w:val="22"/>
          <w:szCs w:val="22"/>
        </w:rPr>
      </w:pPr>
      <w:r>
        <w:rPr>
          <w:sz w:val="18"/>
          <w:szCs w:val="18"/>
        </w:rPr>
        <w:t>Abbreviations: ANCOVA = analysis of covariance; CI = confidence interval; GMR = ratio of GMT, which is defined as the ratio of 2 GMTs for comparison of 2 age cohorts; GMT = geometric mean titer; LLOQ = lower limit of quantitation; MN = microneutralisation; N = number of participants in assay-specific PP-IMM Analysis Set in each pa</w:t>
      </w:r>
      <w:r>
        <w:rPr>
          <w:sz w:val="18"/>
          <w:szCs w:val="18"/>
        </w:rPr>
        <w:t>rt of study with non-missing response at each visit; PP-IMM = Per-Protocol Immunogenicity; SARS-CoV-2 = severe acute respiratory syndrome coronavirus 2.</w:t>
      </w:r>
    </w:p>
    <w:p w14:paraId="29B5D95A"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1</w:t>
      </w:r>
      <w:r>
        <w:rPr>
          <w:sz w:val="18"/>
          <w:szCs w:val="18"/>
        </w:rPr>
        <w:t xml:space="preserve"> Table includes participants in the active vaccine group only.</w:t>
      </w:r>
    </w:p>
    <w:p w14:paraId="4060120F"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color w:val="000000"/>
          <w:sz w:val="18"/>
          <w:szCs w:val="18"/>
          <w:vertAlign w:val="superscript"/>
        </w:rPr>
        <w:t>2</w:t>
      </w:r>
      <w:r>
        <w:rPr>
          <w:sz w:val="22"/>
          <w:szCs w:val="22"/>
        </w:rPr>
        <w:t xml:space="preserve"> </w:t>
      </w:r>
      <w:r>
        <w:rPr>
          <w:sz w:val="18"/>
          <w:szCs w:val="18"/>
        </w:rPr>
        <w:t>An ANCOVA with age cohort as main effect and baseline MN Assay neutralising antibodies as covariate was performed to estimate the GMR. Individual response values recorded as below the LLOQ were set to half LLOQ.</w:t>
      </w:r>
    </w:p>
    <w:p w14:paraId="40A1A46A"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3</w:t>
      </w:r>
      <w:r>
        <w:rPr>
          <w:sz w:val="18"/>
          <w:szCs w:val="18"/>
        </w:rPr>
        <w:t xml:space="preserve"> Represents (n1, n2) populations defined as:</w:t>
      </w:r>
      <w:r>
        <w:rPr>
          <w:sz w:val="18"/>
          <w:szCs w:val="18"/>
        </w:rPr>
        <w:br/>
      </w:r>
      <w:r>
        <w:rPr>
          <w:sz w:val="18"/>
          <w:szCs w:val="18"/>
        </w:rPr>
        <w:t>n1 = number of participants in adult main study (18 through 25 years) with non-missing neutralising antibodies result</w:t>
      </w:r>
      <w:r>
        <w:rPr>
          <w:sz w:val="18"/>
          <w:szCs w:val="18"/>
        </w:rPr>
        <w:br/>
        <w:t xml:space="preserve">n2 = number of participants in paediatric expansion (12 through 17 years) with non-missing neutralising antibodies result </w:t>
      </w:r>
    </w:p>
    <w:p w14:paraId="142D3D9E" w14:textId="77777777" w:rsidR="002B02D6" w:rsidRDefault="002B02D6">
      <w:pPr>
        <w:pStyle w:val="NormalWeb"/>
        <w:spacing w:before="0" w:beforeAutospacing="0" w:after="0" w:afterAutospacing="0"/>
        <w:divId w:val="1888711994"/>
        <w:rPr>
          <w:sz w:val="22"/>
          <w:szCs w:val="22"/>
        </w:rPr>
      </w:pPr>
      <w:r>
        <w:rPr>
          <w:sz w:val="22"/>
          <w:szCs w:val="22"/>
        </w:rPr>
        <w:t> </w:t>
      </w:r>
    </w:p>
    <w:p w14:paraId="26A19856" w14:textId="77777777" w:rsidR="002B02D6" w:rsidRDefault="002B02D6">
      <w:pPr>
        <w:pStyle w:val="NormalWeb"/>
        <w:spacing w:before="0" w:beforeAutospacing="0" w:after="0" w:afterAutospacing="0"/>
        <w:divId w:val="1888711994"/>
        <w:rPr>
          <w:sz w:val="22"/>
          <w:szCs w:val="22"/>
        </w:rPr>
      </w:pPr>
      <w:r>
        <w:rPr>
          <w:rStyle w:val="Emphasis"/>
          <w:sz w:val="22"/>
          <w:szCs w:val="22"/>
        </w:rPr>
        <w:t xml:space="preserve">Study 2 (2019nCoV-302) </w:t>
      </w:r>
    </w:p>
    <w:p w14:paraId="205DEF17" w14:textId="77777777" w:rsidR="002B02D6" w:rsidRDefault="002B02D6">
      <w:pPr>
        <w:pStyle w:val="NormalWeb"/>
        <w:spacing w:before="0" w:beforeAutospacing="0" w:after="0" w:afterAutospacing="0"/>
        <w:divId w:val="1888711994"/>
        <w:rPr>
          <w:sz w:val="22"/>
          <w:szCs w:val="22"/>
        </w:rPr>
      </w:pPr>
      <w:r>
        <w:rPr>
          <w:sz w:val="22"/>
          <w:szCs w:val="22"/>
        </w:rPr>
        <w:t>Study 2 was a Phase 3, multicentre, randomised, observer-blinded, placebo-controlled study in participants 18 to 84 years of age in the United Kingdom. Upon enrolment, participants were stratified by age (18 to 64 years; 65 to 84 </w:t>
      </w:r>
      <w:r>
        <w:rPr>
          <w:sz w:val="22"/>
          <w:szCs w:val="22"/>
        </w:rPr>
        <w:t>years) to receive Nuvaxovid or placebo. The study excluded participants who were significantly immunocompromised due to immunodeficiency disease; current diagnosis or treatment for cancer; autoimmune disease/condition; received chronic immunosuppressive therapy or received immunoglobulin or blood-derived products within 90 </w:t>
      </w:r>
      <w:r>
        <w:rPr>
          <w:sz w:val="22"/>
          <w:szCs w:val="22"/>
        </w:rPr>
        <w:t>days; bleeding disorder or continuous use of anticoagulants; history of allergic reactions and/or anaphylaxis; were pregnant; or had a history of laboratory-confirmed diagnosed COVID-19. Participants with clinically stable disease, defined as disease not requiring significant change in therapy or hospitalisation for worsening disease during the 4 weeks before enrolment were included. Participants with known stable infection with HIV, hepatitis C virus (HCV), or hepatitis </w:t>
      </w:r>
      <w:r>
        <w:rPr>
          <w:sz w:val="22"/>
          <w:szCs w:val="22"/>
        </w:rPr>
        <w:t>B virus (HBV) were not excluded from enrolment.</w:t>
      </w:r>
    </w:p>
    <w:p w14:paraId="4EAA02A5" w14:textId="77777777" w:rsidR="002B02D6" w:rsidRDefault="002B02D6">
      <w:pPr>
        <w:pStyle w:val="NormalWeb"/>
        <w:spacing w:before="0" w:beforeAutospacing="0" w:after="0" w:afterAutospacing="0"/>
        <w:divId w:val="1888711994"/>
        <w:rPr>
          <w:sz w:val="22"/>
          <w:szCs w:val="22"/>
        </w:rPr>
      </w:pPr>
      <w:r>
        <w:rPr>
          <w:sz w:val="22"/>
          <w:szCs w:val="22"/>
        </w:rPr>
        <w:t> </w:t>
      </w:r>
    </w:p>
    <w:p w14:paraId="6B34641B" w14:textId="77777777" w:rsidR="002B02D6" w:rsidRDefault="002B02D6">
      <w:pPr>
        <w:pStyle w:val="NormalWeb"/>
        <w:spacing w:before="0" w:beforeAutospacing="0" w:after="0" w:afterAutospacing="0"/>
        <w:divId w:val="1888711994"/>
        <w:rPr>
          <w:sz w:val="22"/>
          <w:szCs w:val="22"/>
        </w:rPr>
      </w:pPr>
      <w:r>
        <w:rPr>
          <w:sz w:val="22"/>
          <w:szCs w:val="22"/>
        </w:rPr>
        <w:t>Enrolment was completed in November 2020. Participants were followed for up to 12 months after the primary vaccination series for assessments of safety and efficacy against COVID-19.</w:t>
      </w:r>
    </w:p>
    <w:p w14:paraId="53F15CCA" w14:textId="77777777" w:rsidR="002B02D6" w:rsidRDefault="002B02D6">
      <w:pPr>
        <w:pStyle w:val="NormalWeb"/>
        <w:spacing w:before="0" w:beforeAutospacing="0" w:after="0" w:afterAutospacing="0"/>
        <w:divId w:val="1888711994"/>
        <w:rPr>
          <w:sz w:val="22"/>
          <w:szCs w:val="22"/>
        </w:rPr>
      </w:pPr>
      <w:r>
        <w:rPr>
          <w:sz w:val="22"/>
          <w:szCs w:val="22"/>
        </w:rPr>
        <w:t> </w:t>
      </w:r>
    </w:p>
    <w:p w14:paraId="6D818A52" w14:textId="77777777" w:rsidR="002B02D6" w:rsidRDefault="002B02D6">
      <w:pPr>
        <w:pStyle w:val="NormalWeb"/>
        <w:spacing w:before="0" w:beforeAutospacing="0" w:after="0" w:afterAutospacing="0"/>
        <w:divId w:val="1888711994"/>
        <w:rPr>
          <w:sz w:val="22"/>
          <w:szCs w:val="22"/>
        </w:rPr>
      </w:pPr>
      <w:r>
        <w:rPr>
          <w:sz w:val="22"/>
          <w:szCs w:val="22"/>
        </w:rPr>
        <w:t>The primary efficacy analysis set (PP-EFF) included 14,039 participants who received either Nuvaxovid (n=7,020) or placebo (n=7,019), received two doses (Dose 1 on day 0; Dose 2 at median 21 </w:t>
      </w:r>
      <w:r>
        <w:rPr>
          <w:sz w:val="22"/>
          <w:szCs w:val="22"/>
        </w:rPr>
        <w:t>days (IQR 21-23), range 16-45, did not experience an exclusionary protocol deviation, and did not have evidence of SARS-CoV-2 infection through 7 days after the second dose.</w:t>
      </w:r>
    </w:p>
    <w:p w14:paraId="1DA45CEF" w14:textId="77777777" w:rsidR="002B02D6" w:rsidRDefault="002B02D6">
      <w:pPr>
        <w:pStyle w:val="NormalWeb"/>
        <w:spacing w:before="0" w:beforeAutospacing="0" w:after="0" w:afterAutospacing="0"/>
        <w:divId w:val="1888711994"/>
        <w:rPr>
          <w:sz w:val="22"/>
          <w:szCs w:val="22"/>
        </w:rPr>
      </w:pPr>
      <w:r>
        <w:rPr>
          <w:sz w:val="22"/>
          <w:szCs w:val="22"/>
        </w:rPr>
        <w:t> </w:t>
      </w:r>
    </w:p>
    <w:p w14:paraId="458DFAF1" w14:textId="77777777" w:rsidR="002B02D6" w:rsidRDefault="002B02D6">
      <w:pPr>
        <w:pStyle w:val="NormalWeb"/>
        <w:spacing w:before="0" w:beforeAutospacing="0" w:after="0" w:afterAutospacing="0"/>
        <w:ind w:right="102"/>
        <w:divId w:val="1888711994"/>
        <w:rPr>
          <w:sz w:val="22"/>
          <w:szCs w:val="22"/>
        </w:rPr>
      </w:pPr>
      <w:r>
        <w:rPr>
          <w:sz w:val="22"/>
          <w:szCs w:val="22"/>
        </w:rPr>
        <w:t>Demographic and baseline characteristics were balanced amongst participants who received Nuvaxovid and participants who received placebo. In the PP-EFF analysis set for participants who received Nuvaxovid, median age was 56.0 years (range: 18 to 84 years); 72% (n=5,067) were 18 to 64 </w:t>
      </w:r>
      <w:r>
        <w:rPr>
          <w:sz w:val="22"/>
          <w:szCs w:val="22"/>
        </w:rPr>
        <w:t>years old and 28% (n=1,953) were aged 65 to 84; 49% were female; 94% were White; 3% were Asian; 1% were multiple races, &lt;1% were Black or African American; and &lt;1% were Hispanic or Latino; and 45% had at least one comorbid condition.</w:t>
      </w:r>
    </w:p>
    <w:p w14:paraId="72E0B947" w14:textId="77777777" w:rsidR="002B02D6" w:rsidRDefault="002B02D6">
      <w:pPr>
        <w:pStyle w:val="NormalWeb"/>
        <w:spacing w:before="0" w:beforeAutospacing="0" w:after="0" w:afterAutospacing="0"/>
        <w:divId w:val="1888711994"/>
        <w:rPr>
          <w:sz w:val="22"/>
          <w:szCs w:val="22"/>
        </w:rPr>
      </w:pPr>
      <w:r>
        <w:rPr>
          <w:sz w:val="22"/>
          <w:szCs w:val="22"/>
        </w:rPr>
        <w:t> </w:t>
      </w:r>
    </w:p>
    <w:p w14:paraId="3230CECE" w14:textId="77777777" w:rsidR="002B02D6" w:rsidRDefault="002B02D6">
      <w:pPr>
        <w:pStyle w:val="NormalWeb"/>
        <w:spacing w:before="0" w:beforeAutospacing="0" w:after="40" w:afterAutospacing="0"/>
        <w:ind w:right="101"/>
        <w:divId w:val="1888711994"/>
        <w:rPr>
          <w:sz w:val="22"/>
          <w:szCs w:val="22"/>
        </w:rPr>
      </w:pPr>
      <w:r>
        <w:rPr>
          <w:rStyle w:val="Strong"/>
          <w:sz w:val="22"/>
          <w:szCs w:val="22"/>
        </w:rPr>
        <w:t>Table 4: Vaccine efficacy analysis of PCR-confirmed COVID-19 with onset at least 7 days after the second vaccination - (PP-EFF population): Study 2 (2019nCoV-302)</w:t>
      </w:r>
    </w:p>
    <w:tbl>
      <w:tblPr>
        <w:tblW w:w="9000" w:type="dxa"/>
        <w:tblCellMar>
          <w:left w:w="0" w:type="dxa"/>
          <w:right w:w="0" w:type="dxa"/>
        </w:tblCellMar>
        <w:tblLook w:val="04A0" w:firstRow="1" w:lastRow="0" w:firstColumn="1" w:lastColumn="0" w:noHBand="0" w:noVBand="1"/>
      </w:tblPr>
      <w:tblGrid>
        <w:gridCol w:w="1151"/>
        <w:gridCol w:w="1011"/>
        <w:gridCol w:w="1023"/>
        <w:gridCol w:w="1252"/>
        <w:gridCol w:w="1011"/>
        <w:gridCol w:w="1023"/>
        <w:gridCol w:w="1179"/>
        <w:gridCol w:w="1350"/>
      </w:tblGrid>
      <w:tr w:rsidR="00000000" w14:paraId="5D53BE8E" w14:textId="77777777">
        <w:trPr>
          <w:divId w:val="1888711994"/>
        </w:trPr>
        <w:tc>
          <w:tcPr>
            <w:tcW w:w="114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57A91FA" w14:textId="77777777" w:rsidR="002B02D6" w:rsidRDefault="002B02D6">
            <w:pPr>
              <w:pStyle w:val="NormalWeb"/>
              <w:spacing w:before="0" w:beforeAutospacing="0" w:after="0" w:afterAutospacing="0"/>
              <w:rPr>
                <w:sz w:val="22"/>
                <w:szCs w:val="22"/>
              </w:rPr>
            </w:pPr>
            <w:r>
              <w:rPr>
                <w:rStyle w:val="Strong"/>
                <w:sz w:val="20"/>
                <w:szCs w:val="20"/>
              </w:rPr>
              <w:t> </w:t>
            </w:r>
          </w:p>
          <w:p w14:paraId="1A3ECED5" w14:textId="77777777" w:rsidR="002B02D6" w:rsidRDefault="002B02D6">
            <w:pPr>
              <w:pStyle w:val="NormalWeb"/>
              <w:spacing w:before="0" w:beforeAutospacing="0" w:after="0" w:afterAutospacing="0"/>
              <w:rPr>
                <w:sz w:val="22"/>
                <w:szCs w:val="22"/>
              </w:rPr>
            </w:pPr>
            <w:r>
              <w:rPr>
                <w:rStyle w:val="Strong"/>
                <w:sz w:val="20"/>
                <w:szCs w:val="20"/>
              </w:rPr>
              <w:t> </w:t>
            </w:r>
          </w:p>
          <w:p w14:paraId="76917EE4" w14:textId="77777777" w:rsidR="002B02D6" w:rsidRDefault="002B02D6">
            <w:pPr>
              <w:pStyle w:val="NormalWeb"/>
              <w:spacing w:before="0" w:beforeAutospacing="0" w:after="0" w:afterAutospacing="0"/>
              <w:rPr>
                <w:sz w:val="22"/>
                <w:szCs w:val="22"/>
              </w:rPr>
            </w:pPr>
            <w:r>
              <w:rPr>
                <w:rStyle w:val="Strong"/>
                <w:sz w:val="20"/>
                <w:szCs w:val="20"/>
              </w:rPr>
              <w:t> </w:t>
            </w:r>
          </w:p>
          <w:p w14:paraId="46BDF5E7" w14:textId="77777777" w:rsidR="002B02D6" w:rsidRDefault="002B02D6">
            <w:pPr>
              <w:pStyle w:val="NormalWeb"/>
              <w:spacing w:before="0" w:beforeAutospacing="0" w:after="0" w:afterAutospacing="0"/>
              <w:rPr>
                <w:sz w:val="22"/>
                <w:szCs w:val="22"/>
              </w:rPr>
            </w:pPr>
            <w:r>
              <w:rPr>
                <w:rStyle w:val="Strong"/>
                <w:sz w:val="20"/>
                <w:szCs w:val="20"/>
              </w:rPr>
              <w:t> </w:t>
            </w:r>
          </w:p>
          <w:p w14:paraId="008F692D" w14:textId="77777777" w:rsidR="002B02D6" w:rsidRDefault="002B02D6">
            <w:pPr>
              <w:pStyle w:val="NormalWeb"/>
              <w:spacing w:before="0" w:beforeAutospacing="0" w:after="0" w:afterAutospacing="0"/>
              <w:rPr>
                <w:sz w:val="22"/>
                <w:szCs w:val="22"/>
              </w:rPr>
            </w:pPr>
            <w:r>
              <w:rPr>
                <w:rStyle w:val="Strong"/>
                <w:sz w:val="20"/>
                <w:szCs w:val="20"/>
              </w:rPr>
              <w:t>Subgroup</w:t>
            </w:r>
          </w:p>
        </w:tc>
        <w:tc>
          <w:tcPr>
            <w:tcW w:w="3286" w:type="dxa"/>
            <w:gridSpan w:val="3"/>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18C2970D" w14:textId="77777777" w:rsidR="002B02D6" w:rsidRDefault="002B02D6">
            <w:pPr>
              <w:pStyle w:val="NormalWeb"/>
              <w:spacing w:before="0" w:beforeAutospacing="0" w:after="0" w:afterAutospacing="0"/>
              <w:jc w:val="center"/>
              <w:rPr>
                <w:sz w:val="22"/>
                <w:szCs w:val="22"/>
              </w:rPr>
            </w:pPr>
            <w:r>
              <w:rPr>
                <w:rStyle w:val="Strong"/>
                <w:sz w:val="20"/>
                <w:szCs w:val="20"/>
              </w:rPr>
              <w:t>Nuvaxovid</w:t>
            </w:r>
          </w:p>
        </w:tc>
        <w:tc>
          <w:tcPr>
            <w:tcW w:w="3213" w:type="dxa"/>
            <w:gridSpan w:val="3"/>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7C298DEF" w14:textId="77777777" w:rsidR="002B02D6" w:rsidRDefault="002B02D6">
            <w:pPr>
              <w:pStyle w:val="NormalWeb"/>
              <w:spacing w:before="0" w:beforeAutospacing="0" w:after="0" w:afterAutospacing="0"/>
              <w:jc w:val="center"/>
              <w:rPr>
                <w:sz w:val="22"/>
                <w:szCs w:val="22"/>
              </w:rPr>
            </w:pPr>
            <w:r>
              <w:rPr>
                <w:rStyle w:val="Strong"/>
                <w:sz w:val="20"/>
                <w:szCs w:val="20"/>
              </w:rPr>
              <w:t>Placebo</w:t>
            </w:r>
          </w:p>
        </w:tc>
        <w:tc>
          <w:tcPr>
            <w:tcW w:w="1350" w:type="dxa"/>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613708B7" w14:textId="77777777" w:rsidR="002B02D6" w:rsidRDefault="002B02D6">
            <w:pPr>
              <w:pStyle w:val="NormalWeb"/>
              <w:spacing w:before="0" w:beforeAutospacing="0" w:after="0" w:afterAutospacing="0"/>
              <w:rPr>
                <w:sz w:val="22"/>
                <w:szCs w:val="22"/>
              </w:rPr>
            </w:pPr>
            <w:r>
              <w:rPr>
                <w:rStyle w:val="Strong"/>
                <w:sz w:val="20"/>
                <w:szCs w:val="20"/>
              </w:rPr>
              <w:t> </w:t>
            </w:r>
          </w:p>
          <w:p w14:paraId="17563285" w14:textId="77777777" w:rsidR="002B02D6" w:rsidRDefault="002B02D6">
            <w:pPr>
              <w:pStyle w:val="NormalWeb"/>
              <w:spacing w:before="0" w:beforeAutospacing="0" w:after="0" w:afterAutospacing="0"/>
              <w:rPr>
                <w:sz w:val="22"/>
                <w:szCs w:val="22"/>
              </w:rPr>
            </w:pPr>
            <w:r>
              <w:rPr>
                <w:rStyle w:val="Strong"/>
                <w:sz w:val="20"/>
                <w:szCs w:val="20"/>
              </w:rPr>
              <w:t> </w:t>
            </w:r>
          </w:p>
          <w:p w14:paraId="60DCCA38" w14:textId="77777777" w:rsidR="002B02D6" w:rsidRDefault="002B02D6">
            <w:pPr>
              <w:pStyle w:val="NormalWeb"/>
              <w:spacing w:before="0" w:beforeAutospacing="0" w:after="0" w:afterAutospacing="0"/>
              <w:jc w:val="center"/>
              <w:rPr>
                <w:sz w:val="22"/>
                <w:szCs w:val="22"/>
              </w:rPr>
            </w:pPr>
            <w:r>
              <w:rPr>
                <w:rStyle w:val="Strong"/>
                <w:sz w:val="20"/>
                <w:szCs w:val="20"/>
              </w:rPr>
              <w:t>% Vaccine Efficacy</w:t>
            </w:r>
          </w:p>
          <w:p w14:paraId="11469F23" w14:textId="77777777" w:rsidR="002B02D6" w:rsidRDefault="002B02D6">
            <w:pPr>
              <w:pStyle w:val="NormalWeb"/>
              <w:spacing w:before="0" w:beforeAutospacing="0" w:after="0" w:afterAutospacing="0"/>
              <w:jc w:val="center"/>
              <w:rPr>
                <w:sz w:val="22"/>
                <w:szCs w:val="22"/>
              </w:rPr>
            </w:pPr>
            <w:r>
              <w:rPr>
                <w:rStyle w:val="Strong"/>
                <w:sz w:val="20"/>
                <w:szCs w:val="20"/>
              </w:rPr>
              <w:t>(95% CI)</w:t>
            </w:r>
          </w:p>
        </w:tc>
      </w:tr>
      <w:tr w:rsidR="00000000" w14:paraId="33C4D6E9" w14:textId="77777777">
        <w:trPr>
          <w:divId w:val="1888711994"/>
          <w:trHeight w:val="119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C23A4E" w14:textId="77777777" w:rsidR="002B02D6" w:rsidRDefault="002B02D6">
            <w:pPr>
              <w:rPr>
                <w:sz w:val="22"/>
                <w:szCs w:val="22"/>
              </w:rPr>
            </w:pPr>
          </w:p>
        </w:tc>
        <w:tc>
          <w:tcPr>
            <w:tcW w:w="1011" w:type="dxa"/>
            <w:tcBorders>
              <w:top w:val="nil"/>
              <w:left w:val="nil"/>
              <w:bottom w:val="single" w:sz="8" w:space="0" w:color="000000"/>
              <w:right w:val="single" w:sz="8" w:space="0" w:color="000000"/>
            </w:tcBorders>
            <w:tcMar>
              <w:top w:w="0" w:type="dxa"/>
              <w:left w:w="108" w:type="dxa"/>
              <w:bottom w:w="0" w:type="dxa"/>
              <w:right w:w="108" w:type="dxa"/>
            </w:tcMar>
            <w:hideMark/>
          </w:tcPr>
          <w:p w14:paraId="6643B1AD" w14:textId="77777777" w:rsidR="002B02D6" w:rsidRDefault="002B02D6">
            <w:pPr>
              <w:pStyle w:val="NormalWeb"/>
              <w:spacing w:before="0" w:beforeAutospacing="0" w:after="0" w:afterAutospacing="0"/>
              <w:jc w:val="center"/>
              <w:rPr>
                <w:sz w:val="22"/>
                <w:szCs w:val="22"/>
              </w:rPr>
            </w:pPr>
            <w:r>
              <w:rPr>
                <w:rStyle w:val="Strong"/>
                <w:sz w:val="20"/>
                <w:szCs w:val="20"/>
              </w:rPr>
              <w:t> </w:t>
            </w:r>
          </w:p>
          <w:p w14:paraId="4E0436E7" w14:textId="77777777" w:rsidR="002B02D6" w:rsidRDefault="002B02D6">
            <w:pPr>
              <w:pStyle w:val="NormalWeb"/>
              <w:spacing w:before="0" w:beforeAutospacing="0" w:after="0" w:afterAutospacing="0"/>
              <w:jc w:val="center"/>
              <w:rPr>
                <w:sz w:val="22"/>
                <w:szCs w:val="22"/>
              </w:rPr>
            </w:pPr>
            <w:r>
              <w:rPr>
                <w:rStyle w:val="Strong"/>
                <w:sz w:val="20"/>
                <w:szCs w:val="20"/>
              </w:rPr>
              <w:t>Partici-pants</w:t>
            </w:r>
            <w:r>
              <w:rPr>
                <w:sz w:val="22"/>
                <w:szCs w:val="22"/>
              </w:rPr>
              <w:br/>
            </w:r>
            <w:r>
              <w:rPr>
                <w:rStyle w:val="Strong"/>
                <w:sz w:val="20"/>
                <w:szCs w:val="20"/>
              </w:rPr>
              <w:t>N</w:t>
            </w:r>
          </w:p>
        </w:tc>
        <w:tc>
          <w:tcPr>
            <w:tcW w:w="1023" w:type="dxa"/>
            <w:tcBorders>
              <w:top w:val="nil"/>
              <w:left w:val="nil"/>
              <w:bottom w:val="single" w:sz="8" w:space="0" w:color="000000"/>
              <w:right w:val="single" w:sz="8" w:space="0" w:color="000000"/>
            </w:tcBorders>
            <w:tcMar>
              <w:top w:w="0" w:type="dxa"/>
              <w:left w:w="108" w:type="dxa"/>
              <w:bottom w:w="0" w:type="dxa"/>
              <w:right w:w="108" w:type="dxa"/>
            </w:tcMar>
            <w:hideMark/>
          </w:tcPr>
          <w:p w14:paraId="12BB1BD4" w14:textId="77777777" w:rsidR="002B02D6" w:rsidRDefault="002B02D6">
            <w:pPr>
              <w:pStyle w:val="NormalWeb"/>
              <w:spacing w:before="0" w:beforeAutospacing="0" w:after="0" w:afterAutospacing="0"/>
              <w:jc w:val="center"/>
              <w:rPr>
                <w:sz w:val="22"/>
                <w:szCs w:val="22"/>
              </w:rPr>
            </w:pPr>
            <w:r>
              <w:rPr>
                <w:rStyle w:val="Strong"/>
                <w:sz w:val="20"/>
                <w:szCs w:val="20"/>
              </w:rPr>
              <w:t> </w:t>
            </w:r>
          </w:p>
          <w:p w14:paraId="2F275AAD" w14:textId="77777777" w:rsidR="002B02D6" w:rsidRDefault="002B02D6">
            <w:pPr>
              <w:pStyle w:val="NormalWeb"/>
              <w:spacing w:before="0" w:beforeAutospacing="0" w:after="0" w:afterAutospacing="0"/>
              <w:jc w:val="center"/>
              <w:rPr>
                <w:sz w:val="22"/>
                <w:szCs w:val="22"/>
              </w:rPr>
            </w:pPr>
            <w:r>
              <w:rPr>
                <w:rStyle w:val="Strong"/>
                <w:sz w:val="20"/>
                <w:szCs w:val="20"/>
              </w:rPr>
              <w:t xml:space="preserve">COVID-19 cases </w:t>
            </w:r>
            <w:r>
              <w:rPr>
                <w:sz w:val="22"/>
                <w:szCs w:val="22"/>
              </w:rPr>
              <w:br/>
            </w:r>
            <w:r>
              <w:rPr>
                <w:rStyle w:val="Strong"/>
                <w:sz w:val="20"/>
                <w:szCs w:val="20"/>
              </w:rPr>
              <w:t>n (%)</w:t>
            </w:r>
          </w:p>
        </w:tc>
        <w:tc>
          <w:tcPr>
            <w:tcW w:w="1252" w:type="dxa"/>
            <w:tcBorders>
              <w:top w:val="nil"/>
              <w:left w:val="nil"/>
              <w:bottom w:val="single" w:sz="8" w:space="0" w:color="000000"/>
              <w:right w:val="single" w:sz="8" w:space="0" w:color="000000"/>
            </w:tcBorders>
            <w:tcMar>
              <w:top w:w="0" w:type="dxa"/>
              <w:left w:w="108" w:type="dxa"/>
              <w:bottom w:w="0" w:type="dxa"/>
              <w:right w:w="108" w:type="dxa"/>
            </w:tcMar>
            <w:hideMark/>
          </w:tcPr>
          <w:p w14:paraId="13CE5D57" w14:textId="77777777" w:rsidR="002B02D6" w:rsidRDefault="002B02D6">
            <w:pPr>
              <w:pStyle w:val="NormalWeb"/>
              <w:spacing w:before="0" w:beforeAutospacing="0" w:after="0" w:afterAutospacing="0"/>
              <w:jc w:val="center"/>
              <w:rPr>
                <w:sz w:val="22"/>
                <w:szCs w:val="22"/>
              </w:rPr>
            </w:pPr>
            <w:r>
              <w:rPr>
                <w:rStyle w:val="Strong"/>
                <w:sz w:val="20"/>
                <w:szCs w:val="20"/>
              </w:rPr>
              <w:t>Incidence Rate Per Year Per 1,000 People</w:t>
            </w:r>
            <w:r>
              <w:rPr>
                <w:rStyle w:val="Strong"/>
                <w:sz w:val="20"/>
                <w:szCs w:val="20"/>
                <w:vertAlign w:val="superscript"/>
              </w:rPr>
              <w:t>1</w:t>
            </w:r>
          </w:p>
        </w:tc>
        <w:tc>
          <w:tcPr>
            <w:tcW w:w="1011" w:type="dxa"/>
            <w:tcBorders>
              <w:top w:val="nil"/>
              <w:left w:val="nil"/>
              <w:bottom w:val="single" w:sz="8" w:space="0" w:color="000000"/>
              <w:right w:val="single" w:sz="8" w:space="0" w:color="000000"/>
            </w:tcBorders>
            <w:tcMar>
              <w:top w:w="0" w:type="dxa"/>
              <w:left w:w="108" w:type="dxa"/>
              <w:bottom w:w="0" w:type="dxa"/>
              <w:right w:w="108" w:type="dxa"/>
            </w:tcMar>
            <w:hideMark/>
          </w:tcPr>
          <w:p w14:paraId="6EDF98D0" w14:textId="77777777" w:rsidR="002B02D6" w:rsidRDefault="002B02D6">
            <w:pPr>
              <w:pStyle w:val="NormalWeb"/>
              <w:spacing w:before="0" w:beforeAutospacing="0" w:after="0" w:afterAutospacing="0"/>
              <w:jc w:val="center"/>
              <w:rPr>
                <w:sz w:val="22"/>
                <w:szCs w:val="22"/>
              </w:rPr>
            </w:pPr>
            <w:r>
              <w:rPr>
                <w:rStyle w:val="Strong"/>
                <w:sz w:val="20"/>
                <w:szCs w:val="20"/>
              </w:rPr>
              <w:t> </w:t>
            </w:r>
          </w:p>
          <w:p w14:paraId="12F644F9" w14:textId="77777777" w:rsidR="002B02D6" w:rsidRDefault="002B02D6">
            <w:pPr>
              <w:pStyle w:val="NormalWeb"/>
              <w:spacing w:before="0" w:beforeAutospacing="0" w:after="0" w:afterAutospacing="0"/>
              <w:jc w:val="center"/>
              <w:rPr>
                <w:sz w:val="22"/>
                <w:szCs w:val="22"/>
              </w:rPr>
            </w:pPr>
            <w:r>
              <w:rPr>
                <w:rStyle w:val="Strong"/>
                <w:sz w:val="20"/>
                <w:szCs w:val="20"/>
              </w:rPr>
              <w:t>Partici-pants</w:t>
            </w:r>
            <w:r>
              <w:rPr>
                <w:sz w:val="22"/>
                <w:szCs w:val="22"/>
              </w:rPr>
              <w:br/>
            </w:r>
            <w:r>
              <w:rPr>
                <w:rStyle w:val="Strong"/>
                <w:sz w:val="20"/>
                <w:szCs w:val="20"/>
              </w:rPr>
              <w:t>N</w:t>
            </w:r>
          </w:p>
        </w:tc>
        <w:tc>
          <w:tcPr>
            <w:tcW w:w="1023" w:type="dxa"/>
            <w:tcBorders>
              <w:top w:val="nil"/>
              <w:left w:val="nil"/>
              <w:bottom w:val="single" w:sz="8" w:space="0" w:color="000000"/>
              <w:right w:val="single" w:sz="8" w:space="0" w:color="000000"/>
            </w:tcBorders>
            <w:tcMar>
              <w:top w:w="0" w:type="dxa"/>
              <w:left w:w="108" w:type="dxa"/>
              <w:bottom w:w="0" w:type="dxa"/>
              <w:right w:w="108" w:type="dxa"/>
            </w:tcMar>
            <w:hideMark/>
          </w:tcPr>
          <w:p w14:paraId="0CC0BD08" w14:textId="77777777" w:rsidR="002B02D6" w:rsidRDefault="002B02D6">
            <w:pPr>
              <w:pStyle w:val="NormalWeb"/>
              <w:spacing w:before="0" w:beforeAutospacing="0" w:after="0" w:afterAutospacing="0"/>
              <w:jc w:val="center"/>
              <w:rPr>
                <w:sz w:val="22"/>
                <w:szCs w:val="22"/>
              </w:rPr>
            </w:pPr>
            <w:r>
              <w:rPr>
                <w:rStyle w:val="Strong"/>
                <w:sz w:val="20"/>
                <w:szCs w:val="20"/>
              </w:rPr>
              <w:t> </w:t>
            </w:r>
          </w:p>
          <w:p w14:paraId="592094B3" w14:textId="77777777" w:rsidR="002B02D6" w:rsidRDefault="002B02D6">
            <w:pPr>
              <w:pStyle w:val="NormalWeb"/>
              <w:spacing w:before="0" w:beforeAutospacing="0" w:after="0" w:afterAutospacing="0"/>
              <w:jc w:val="center"/>
              <w:rPr>
                <w:sz w:val="22"/>
                <w:szCs w:val="22"/>
              </w:rPr>
            </w:pPr>
            <w:r>
              <w:rPr>
                <w:rStyle w:val="Strong"/>
                <w:sz w:val="20"/>
                <w:szCs w:val="20"/>
              </w:rPr>
              <w:t xml:space="preserve">COVID-19 cases </w:t>
            </w:r>
            <w:r>
              <w:rPr>
                <w:sz w:val="22"/>
                <w:szCs w:val="22"/>
              </w:rPr>
              <w:br/>
            </w:r>
            <w:r>
              <w:rPr>
                <w:rStyle w:val="Strong"/>
                <w:sz w:val="20"/>
                <w:szCs w:val="20"/>
              </w:rPr>
              <w:t>n (%)</w:t>
            </w:r>
          </w:p>
        </w:tc>
        <w:tc>
          <w:tcPr>
            <w:tcW w:w="1179" w:type="dxa"/>
            <w:tcBorders>
              <w:top w:val="nil"/>
              <w:left w:val="nil"/>
              <w:bottom w:val="single" w:sz="8" w:space="0" w:color="000000"/>
              <w:right w:val="single" w:sz="8" w:space="0" w:color="000000"/>
            </w:tcBorders>
            <w:tcMar>
              <w:top w:w="0" w:type="dxa"/>
              <w:left w:w="108" w:type="dxa"/>
              <w:bottom w:w="0" w:type="dxa"/>
              <w:right w:w="108" w:type="dxa"/>
            </w:tcMar>
            <w:hideMark/>
          </w:tcPr>
          <w:p w14:paraId="51F58B17" w14:textId="77777777" w:rsidR="002B02D6" w:rsidRDefault="002B02D6">
            <w:pPr>
              <w:pStyle w:val="NormalWeb"/>
              <w:spacing w:before="0" w:beforeAutospacing="0" w:after="0" w:afterAutospacing="0"/>
              <w:jc w:val="center"/>
              <w:rPr>
                <w:sz w:val="22"/>
                <w:szCs w:val="22"/>
              </w:rPr>
            </w:pPr>
            <w:r>
              <w:rPr>
                <w:rStyle w:val="Strong"/>
                <w:sz w:val="20"/>
                <w:szCs w:val="20"/>
              </w:rPr>
              <w:t>Incidence Rate Per Year Per 1,000 People</w:t>
            </w:r>
            <w:r>
              <w:rPr>
                <w:rStyle w:val="Strong"/>
                <w:sz w:val="20"/>
                <w:szCs w:val="20"/>
                <w:vertAlign w:val="superscript"/>
              </w:rPr>
              <w:t>1</w:t>
            </w:r>
          </w:p>
        </w:tc>
        <w:tc>
          <w:tcPr>
            <w:tcW w:w="0" w:type="auto"/>
            <w:vMerge/>
            <w:tcBorders>
              <w:top w:val="single" w:sz="8" w:space="0" w:color="000000"/>
              <w:left w:val="nil"/>
              <w:bottom w:val="single" w:sz="8" w:space="0" w:color="000000"/>
              <w:right w:val="single" w:sz="8" w:space="0" w:color="000000"/>
            </w:tcBorders>
            <w:vAlign w:val="center"/>
            <w:hideMark/>
          </w:tcPr>
          <w:p w14:paraId="53E5D90E" w14:textId="77777777" w:rsidR="002B02D6" w:rsidRDefault="002B02D6">
            <w:pPr>
              <w:rPr>
                <w:sz w:val="22"/>
                <w:szCs w:val="22"/>
              </w:rPr>
            </w:pPr>
          </w:p>
        </w:tc>
      </w:tr>
      <w:tr w:rsidR="00000000" w14:paraId="34C53917" w14:textId="77777777">
        <w:trPr>
          <w:divId w:val="1888711994"/>
        </w:trPr>
        <w:tc>
          <w:tcPr>
            <w:tcW w:w="8995" w:type="dxa"/>
            <w:gridSpan w:val="8"/>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17586E8" w14:textId="77777777" w:rsidR="002B02D6" w:rsidRDefault="002B02D6">
            <w:pPr>
              <w:pStyle w:val="NormalWeb"/>
              <w:spacing w:before="60" w:beforeAutospacing="0" w:after="60" w:afterAutospacing="0"/>
              <w:rPr>
                <w:sz w:val="22"/>
                <w:szCs w:val="22"/>
              </w:rPr>
            </w:pPr>
            <w:r>
              <w:rPr>
                <w:rStyle w:val="Strong"/>
                <w:sz w:val="22"/>
                <w:szCs w:val="22"/>
              </w:rPr>
              <w:t>Primary efficacy endpoint</w:t>
            </w:r>
          </w:p>
        </w:tc>
      </w:tr>
      <w:tr w:rsidR="00000000" w14:paraId="51142EA1" w14:textId="77777777">
        <w:trPr>
          <w:divId w:val="1888711994"/>
        </w:trPr>
        <w:tc>
          <w:tcPr>
            <w:tcW w:w="114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D2BF3C9" w14:textId="77777777" w:rsidR="002B02D6" w:rsidRDefault="002B02D6">
            <w:pPr>
              <w:pStyle w:val="NormalWeb"/>
              <w:spacing w:before="60" w:beforeAutospacing="0" w:after="60" w:afterAutospacing="0"/>
              <w:ind w:right="-90"/>
              <w:rPr>
                <w:sz w:val="22"/>
                <w:szCs w:val="22"/>
              </w:rPr>
            </w:pPr>
            <w:r>
              <w:rPr>
                <w:sz w:val="20"/>
                <w:szCs w:val="20"/>
              </w:rPr>
              <w:t>All participants</w:t>
            </w:r>
          </w:p>
        </w:tc>
        <w:tc>
          <w:tcPr>
            <w:tcW w:w="10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A3423FC" w14:textId="77777777" w:rsidR="002B02D6" w:rsidRDefault="002B02D6">
            <w:pPr>
              <w:pStyle w:val="NormalWeb"/>
              <w:spacing w:before="60" w:beforeAutospacing="0" w:after="60" w:afterAutospacing="0"/>
              <w:jc w:val="center"/>
              <w:rPr>
                <w:sz w:val="22"/>
                <w:szCs w:val="22"/>
              </w:rPr>
            </w:pPr>
            <w:r>
              <w:rPr>
                <w:color w:val="000000"/>
                <w:sz w:val="22"/>
                <w:szCs w:val="22"/>
              </w:rPr>
              <w:t>7,020</w:t>
            </w:r>
          </w:p>
        </w:tc>
        <w:tc>
          <w:tcPr>
            <w:tcW w:w="102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D555CB3" w14:textId="77777777" w:rsidR="002B02D6" w:rsidRDefault="002B02D6">
            <w:pPr>
              <w:pStyle w:val="NormalWeb"/>
              <w:spacing w:before="60" w:beforeAutospacing="0" w:after="60" w:afterAutospacing="0"/>
              <w:jc w:val="center"/>
              <w:rPr>
                <w:sz w:val="22"/>
                <w:szCs w:val="22"/>
              </w:rPr>
            </w:pPr>
            <w:r>
              <w:rPr>
                <w:color w:val="000000"/>
                <w:sz w:val="22"/>
                <w:szCs w:val="22"/>
              </w:rPr>
              <w:t>10 (0.1)</w:t>
            </w:r>
          </w:p>
        </w:tc>
        <w:tc>
          <w:tcPr>
            <w:tcW w:w="125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ED23D47" w14:textId="77777777" w:rsidR="002B02D6" w:rsidRDefault="002B02D6">
            <w:pPr>
              <w:pStyle w:val="NormalWeb"/>
              <w:spacing w:before="60" w:beforeAutospacing="0" w:after="60" w:afterAutospacing="0" w:line="260" w:lineRule="atLeast"/>
              <w:jc w:val="center"/>
              <w:rPr>
                <w:sz w:val="22"/>
                <w:szCs w:val="22"/>
              </w:rPr>
            </w:pPr>
            <w:r>
              <w:rPr>
                <w:color w:val="000000"/>
                <w:sz w:val="22"/>
                <w:szCs w:val="22"/>
              </w:rPr>
              <w:t>6.53</w:t>
            </w:r>
          </w:p>
        </w:tc>
        <w:tc>
          <w:tcPr>
            <w:tcW w:w="10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285CF8B" w14:textId="77777777" w:rsidR="002B02D6" w:rsidRDefault="002B02D6">
            <w:pPr>
              <w:pStyle w:val="NormalWeb"/>
              <w:spacing w:before="60" w:beforeAutospacing="0" w:after="60" w:afterAutospacing="0"/>
              <w:jc w:val="center"/>
              <w:rPr>
                <w:sz w:val="22"/>
                <w:szCs w:val="22"/>
              </w:rPr>
            </w:pPr>
            <w:r>
              <w:rPr>
                <w:color w:val="000000"/>
                <w:sz w:val="22"/>
                <w:szCs w:val="22"/>
              </w:rPr>
              <w:t>7,019</w:t>
            </w:r>
          </w:p>
        </w:tc>
        <w:tc>
          <w:tcPr>
            <w:tcW w:w="102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277DFFD" w14:textId="77777777" w:rsidR="002B02D6" w:rsidRDefault="002B02D6">
            <w:pPr>
              <w:pStyle w:val="NormalWeb"/>
              <w:spacing w:before="60" w:beforeAutospacing="0" w:after="60" w:afterAutospacing="0"/>
              <w:jc w:val="center"/>
              <w:rPr>
                <w:sz w:val="22"/>
                <w:szCs w:val="22"/>
              </w:rPr>
            </w:pPr>
            <w:r>
              <w:rPr>
                <w:color w:val="000000"/>
                <w:sz w:val="22"/>
                <w:szCs w:val="22"/>
              </w:rPr>
              <w:t>96 (1.4)</w:t>
            </w:r>
          </w:p>
        </w:tc>
        <w:tc>
          <w:tcPr>
            <w:tcW w:w="117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BD8B43F" w14:textId="77777777" w:rsidR="002B02D6" w:rsidRDefault="002B02D6">
            <w:pPr>
              <w:pStyle w:val="NormalWeb"/>
              <w:spacing w:before="60" w:beforeAutospacing="0" w:after="60" w:afterAutospacing="0"/>
              <w:jc w:val="center"/>
              <w:rPr>
                <w:sz w:val="22"/>
                <w:szCs w:val="22"/>
              </w:rPr>
            </w:pPr>
            <w:r>
              <w:rPr>
                <w:color w:val="000000"/>
                <w:sz w:val="22"/>
                <w:szCs w:val="22"/>
              </w:rPr>
              <w:t>63.43</w:t>
            </w:r>
          </w:p>
        </w:tc>
        <w:tc>
          <w:tcPr>
            <w:tcW w:w="135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387855E" w14:textId="77777777" w:rsidR="002B02D6" w:rsidRDefault="002B02D6">
            <w:pPr>
              <w:pStyle w:val="NormalWeb"/>
              <w:spacing w:before="60" w:beforeAutospacing="0" w:after="60" w:afterAutospacing="0"/>
              <w:ind w:left="-17"/>
              <w:jc w:val="center"/>
              <w:rPr>
                <w:sz w:val="22"/>
                <w:szCs w:val="22"/>
              </w:rPr>
            </w:pPr>
            <w:r>
              <w:rPr>
                <w:color w:val="000000"/>
                <w:sz w:val="22"/>
                <w:szCs w:val="22"/>
              </w:rPr>
              <w:t>89.7%</w:t>
            </w:r>
            <w:r>
              <w:rPr>
                <w:color w:val="000000"/>
                <w:sz w:val="22"/>
                <w:szCs w:val="22"/>
              </w:rPr>
              <w:br/>
              <w:t>(80.2, 94.6)</w:t>
            </w:r>
            <w:r>
              <w:rPr>
                <w:color w:val="000000"/>
                <w:sz w:val="22"/>
                <w:szCs w:val="22"/>
                <w:vertAlign w:val="superscript"/>
              </w:rPr>
              <w:t>2, 3</w:t>
            </w:r>
          </w:p>
        </w:tc>
      </w:tr>
      <w:tr w:rsidR="00000000" w14:paraId="5716054E" w14:textId="77777777">
        <w:trPr>
          <w:divId w:val="1888711994"/>
        </w:trPr>
        <w:tc>
          <w:tcPr>
            <w:tcW w:w="8995" w:type="dxa"/>
            <w:gridSpan w:val="8"/>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E4DBB45" w14:textId="77777777" w:rsidR="002B02D6" w:rsidRDefault="002B02D6">
            <w:pPr>
              <w:pStyle w:val="NormalWeb"/>
              <w:spacing w:before="60" w:beforeAutospacing="0" w:after="60" w:afterAutospacing="0"/>
              <w:rPr>
                <w:sz w:val="22"/>
                <w:szCs w:val="22"/>
              </w:rPr>
            </w:pPr>
            <w:r>
              <w:rPr>
                <w:rStyle w:val="Strong"/>
                <w:sz w:val="22"/>
                <w:szCs w:val="22"/>
              </w:rPr>
              <w:t>Subgroup analyses of the primary efficacy endpoint</w:t>
            </w:r>
          </w:p>
        </w:tc>
      </w:tr>
      <w:tr w:rsidR="00000000" w14:paraId="6B4C2FD5" w14:textId="77777777">
        <w:trPr>
          <w:divId w:val="1888711994"/>
        </w:trPr>
        <w:tc>
          <w:tcPr>
            <w:tcW w:w="114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2D666DE" w14:textId="77777777" w:rsidR="002B02D6" w:rsidRDefault="002B02D6">
            <w:pPr>
              <w:pStyle w:val="NormalWeb"/>
              <w:spacing w:before="60" w:beforeAutospacing="0" w:after="60" w:afterAutospacing="0"/>
              <w:rPr>
                <w:sz w:val="22"/>
                <w:szCs w:val="22"/>
              </w:rPr>
            </w:pPr>
            <w:r>
              <w:rPr>
                <w:sz w:val="22"/>
                <w:szCs w:val="22"/>
              </w:rPr>
              <w:t>18 to 64 years of age</w:t>
            </w:r>
          </w:p>
        </w:tc>
        <w:tc>
          <w:tcPr>
            <w:tcW w:w="10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6350AD7" w14:textId="77777777" w:rsidR="002B02D6" w:rsidRDefault="002B02D6">
            <w:pPr>
              <w:pStyle w:val="NormalWeb"/>
              <w:spacing w:before="60" w:beforeAutospacing="0" w:after="60" w:afterAutospacing="0"/>
              <w:jc w:val="center"/>
              <w:rPr>
                <w:sz w:val="22"/>
                <w:szCs w:val="22"/>
              </w:rPr>
            </w:pPr>
            <w:r>
              <w:rPr>
                <w:color w:val="000000"/>
                <w:sz w:val="22"/>
                <w:szCs w:val="22"/>
              </w:rPr>
              <w:t>5,067</w:t>
            </w:r>
          </w:p>
        </w:tc>
        <w:tc>
          <w:tcPr>
            <w:tcW w:w="102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BEDE326" w14:textId="77777777" w:rsidR="002B02D6" w:rsidRDefault="002B02D6">
            <w:pPr>
              <w:pStyle w:val="NormalWeb"/>
              <w:spacing w:before="60" w:beforeAutospacing="0" w:after="60" w:afterAutospacing="0"/>
              <w:jc w:val="center"/>
              <w:rPr>
                <w:sz w:val="22"/>
                <w:szCs w:val="22"/>
              </w:rPr>
            </w:pPr>
            <w:r>
              <w:rPr>
                <w:color w:val="000000"/>
                <w:sz w:val="22"/>
                <w:szCs w:val="22"/>
              </w:rPr>
              <w:t>9 (0.2)</w:t>
            </w:r>
          </w:p>
        </w:tc>
        <w:tc>
          <w:tcPr>
            <w:tcW w:w="125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030221E" w14:textId="77777777" w:rsidR="002B02D6" w:rsidRDefault="002B02D6">
            <w:pPr>
              <w:pStyle w:val="NormalWeb"/>
              <w:spacing w:before="60" w:beforeAutospacing="0" w:after="60" w:afterAutospacing="0"/>
              <w:ind w:left="-90" w:right="-90"/>
              <w:jc w:val="center"/>
              <w:rPr>
                <w:sz w:val="22"/>
                <w:szCs w:val="22"/>
              </w:rPr>
            </w:pPr>
            <w:r>
              <w:rPr>
                <w:color w:val="000000"/>
                <w:sz w:val="22"/>
                <w:szCs w:val="22"/>
              </w:rPr>
              <w:t xml:space="preserve">12.30 </w:t>
            </w:r>
          </w:p>
        </w:tc>
        <w:tc>
          <w:tcPr>
            <w:tcW w:w="10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1998F5E" w14:textId="77777777" w:rsidR="002B02D6" w:rsidRDefault="002B02D6">
            <w:pPr>
              <w:pStyle w:val="NormalWeb"/>
              <w:spacing w:before="60" w:beforeAutospacing="0" w:after="60" w:afterAutospacing="0"/>
              <w:jc w:val="center"/>
              <w:rPr>
                <w:sz w:val="22"/>
                <w:szCs w:val="22"/>
              </w:rPr>
            </w:pPr>
            <w:r>
              <w:rPr>
                <w:color w:val="000000"/>
                <w:sz w:val="22"/>
                <w:szCs w:val="22"/>
              </w:rPr>
              <w:t>5,062</w:t>
            </w:r>
          </w:p>
        </w:tc>
        <w:tc>
          <w:tcPr>
            <w:tcW w:w="102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B1E0B60" w14:textId="77777777" w:rsidR="002B02D6" w:rsidRDefault="002B02D6">
            <w:pPr>
              <w:pStyle w:val="NormalWeb"/>
              <w:spacing w:before="60" w:beforeAutospacing="0" w:after="60" w:afterAutospacing="0"/>
              <w:jc w:val="center"/>
              <w:rPr>
                <w:sz w:val="22"/>
                <w:szCs w:val="22"/>
              </w:rPr>
            </w:pPr>
            <w:r>
              <w:rPr>
                <w:color w:val="000000"/>
                <w:sz w:val="22"/>
                <w:szCs w:val="22"/>
              </w:rPr>
              <w:t>87 (1.7)</w:t>
            </w:r>
          </w:p>
        </w:tc>
        <w:tc>
          <w:tcPr>
            <w:tcW w:w="117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AA72FE0" w14:textId="77777777" w:rsidR="002B02D6" w:rsidRDefault="002B02D6">
            <w:pPr>
              <w:pStyle w:val="NormalWeb"/>
              <w:spacing w:before="60" w:beforeAutospacing="0" w:after="60" w:afterAutospacing="0"/>
              <w:ind w:left="-104" w:right="-105"/>
              <w:jc w:val="center"/>
              <w:rPr>
                <w:sz w:val="22"/>
                <w:szCs w:val="22"/>
              </w:rPr>
            </w:pPr>
            <w:r>
              <w:rPr>
                <w:color w:val="000000"/>
                <w:sz w:val="22"/>
                <w:szCs w:val="22"/>
              </w:rPr>
              <w:t>120.22</w:t>
            </w:r>
          </w:p>
        </w:tc>
        <w:tc>
          <w:tcPr>
            <w:tcW w:w="135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AE48196" w14:textId="77777777" w:rsidR="002B02D6" w:rsidRDefault="002B02D6">
            <w:pPr>
              <w:pStyle w:val="NormalWeb"/>
              <w:spacing w:before="60" w:beforeAutospacing="0" w:after="60" w:afterAutospacing="0"/>
              <w:ind w:left="-17"/>
              <w:jc w:val="center"/>
              <w:rPr>
                <w:sz w:val="22"/>
                <w:szCs w:val="22"/>
              </w:rPr>
            </w:pPr>
            <w:r>
              <w:rPr>
                <w:color w:val="000000"/>
                <w:sz w:val="22"/>
                <w:szCs w:val="22"/>
              </w:rPr>
              <w:t>89.8%</w:t>
            </w:r>
            <w:r>
              <w:rPr>
                <w:color w:val="000000"/>
                <w:sz w:val="22"/>
                <w:szCs w:val="22"/>
              </w:rPr>
              <w:br/>
              <w:t>(79.7, 94.9)</w:t>
            </w:r>
            <w:r>
              <w:rPr>
                <w:color w:val="000000"/>
                <w:sz w:val="22"/>
                <w:szCs w:val="22"/>
                <w:vertAlign w:val="superscript"/>
              </w:rPr>
              <w:t>2</w:t>
            </w:r>
          </w:p>
        </w:tc>
      </w:tr>
      <w:tr w:rsidR="00000000" w14:paraId="0DD7E9AD" w14:textId="77777777">
        <w:trPr>
          <w:divId w:val="1888711994"/>
        </w:trPr>
        <w:tc>
          <w:tcPr>
            <w:tcW w:w="114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4D3DE23" w14:textId="77777777" w:rsidR="002B02D6" w:rsidRDefault="002B02D6">
            <w:pPr>
              <w:pStyle w:val="NormalWeb"/>
              <w:spacing w:before="60" w:beforeAutospacing="0" w:after="60" w:afterAutospacing="0"/>
              <w:rPr>
                <w:sz w:val="22"/>
                <w:szCs w:val="22"/>
              </w:rPr>
            </w:pPr>
            <w:r>
              <w:rPr>
                <w:sz w:val="22"/>
                <w:szCs w:val="22"/>
              </w:rPr>
              <w:t>65 to 84 years of age</w:t>
            </w:r>
          </w:p>
        </w:tc>
        <w:tc>
          <w:tcPr>
            <w:tcW w:w="10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EFDC3CD" w14:textId="77777777" w:rsidR="002B02D6" w:rsidRDefault="002B02D6">
            <w:pPr>
              <w:pStyle w:val="NormalWeb"/>
              <w:spacing w:before="60" w:beforeAutospacing="0" w:after="60" w:afterAutospacing="0"/>
              <w:jc w:val="center"/>
              <w:rPr>
                <w:sz w:val="22"/>
                <w:szCs w:val="22"/>
              </w:rPr>
            </w:pPr>
            <w:r>
              <w:rPr>
                <w:color w:val="000000"/>
                <w:sz w:val="22"/>
                <w:szCs w:val="22"/>
              </w:rPr>
              <w:t>1,953</w:t>
            </w:r>
          </w:p>
        </w:tc>
        <w:tc>
          <w:tcPr>
            <w:tcW w:w="102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84D5634" w14:textId="77777777" w:rsidR="002B02D6" w:rsidRDefault="002B02D6">
            <w:pPr>
              <w:pStyle w:val="NormalWeb"/>
              <w:spacing w:before="60" w:beforeAutospacing="0" w:after="60" w:afterAutospacing="0"/>
              <w:ind w:left="-180" w:right="-90"/>
              <w:jc w:val="center"/>
              <w:rPr>
                <w:sz w:val="22"/>
                <w:szCs w:val="22"/>
              </w:rPr>
            </w:pPr>
            <w:r>
              <w:rPr>
                <w:color w:val="000000"/>
                <w:sz w:val="22"/>
                <w:szCs w:val="22"/>
              </w:rPr>
              <w:t>1 (0.10)</w:t>
            </w:r>
            <w:r>
              <w:rPr>
                <w:color w:val="000000"/>
                <w:sz w:val="22"/>
                <w:szCs w:val="22"/>
                <w:vertAlign w:val="superscript"/>
              </w:rPr>
              <w:t>2</w:t>
            </w:r>
          </w:p>
        </w:tc>
        <w:tc>
          <w:tcPr>
            <w:tcW w:w="125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9F0F4B7" w14:textId="77777777" w:rsidR="002B02D6" w:rsidRDefault="002B02D6">
            <w:pPr>
              <w:pStyle w:val="NormalWeb"/>
              <w:spacing w:before="60" w:beforeAutospacing="0" w:after="60" w:afterAutospacing="0"/>
              <w:jc w:val="center"/>
              <w:rPr>
                <w:sz w:val="22"/>
                <w:szCs w:val="22"/>
              </w:rPr>
            </w:pPr>
            <w:r>
              <w:rPr>
                <w:color w:val="000000"/>
                <w:sz w:val="20"/>
                <w:szCs w:val="20"/>
              </w:rPr>
              <w:t>---</w:t>
            </w:r>
          </w:p>
        </w:tc>
        <w:tc>
          <w:tcPr>
            <w:tcW w:w="10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BE8D292" w14:textId="77777777" w:rsidR="002B02D6" w:rsidRDefault="002B02D6">
            <w:pPr>
              <w:pStyle w:val="NormalWeb"/>
              <w:spacing w:before="60" w:beforeAutospacing="0" w:after="60" w:afterAutospacing="0"/>
              <w:jc w:val="center"/>
              <w:rPr>
                <w:sz w:val="22"/>
                <w:szCs w:val="22"/>
              </w:rPr>
            </w:pPr>
            <w:r>
              <w:rPr>
                <w:color w:val="000000"/>
                <w:sz w:val="22"/>
                <w:szCs w:val="22"/>
              </w:rPr>
              <w:t>1,957</w:t>
            </w:r>
          </w:p>
        </w:tc>
        <w:tc>
          <w:tcPr>
            <w:tcW w:w="102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DE2E675" w14:textId="77777777" w:rsidR="002B02D6" w:rsidRDefault="002B02D6">
            <w:pPr>
              <w:pStyle w:val="NormalWeb"/>
              <w:spacing w:before="60" w:beforeAutospacing="0" w:after="60" w:afterAutospacing="0"/>
              <w:jc w:val="center"/>
              <w:rPr>
                <w:sz w:val="22"/>
                <w:szCs w:val="22"/>
              </w:rPr>
            </w:pPr>
            <w:r>
              <w:rPr>
                <w:color w:val="000000"/>
                <w:sz w:val="22"/>
                <w:szCs w:val="22"/>
              </w:rPr>
              <w:t>9 (0.9)</w:t>
            </w:r>
            <w:r>
              <w:rPr>
                <w:color w:val="000000"/>
                <w:sz w:val="22"/>
                <w:szCs w:val="22"/>
                <w:vertAlign w:val="superscript"/>
              </w:rPr>
              <w:t>2</w:t>
            </w:r>
          </w:p>
        </w:tc>
        <w:tc>
          <w:tcPr>
            <w:tcW w:w="117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4AFF1EB" w14:textId="77777777" w:rsidR="002B02D6" w:rsidRDefault="002B02D6">
            <w:pPr>
              <w:pStyle w:val="NormalWeb"/>
              <w:spacing w:before="60" w:beforeAutospacing="0" w:after="60" w:afterAutospacing="0"/>
              <w:jc w:val="center"/>
              <w:rPr>
                <w:sz w:val="22"/>
                <w:szCs w:val="22"/>
              </w:rPr>
            </w:pPr>
            <w:r>
              <w:rPr>
                <w:color w:val="000000"/>
                <w:sz w:val="20"/>
                <w:szCs w:val="20"/>
              </w:rPr>
              <w:t>---</w:t>
            </w:r>
          </w:p>
        </w:tc>
        <w:tc>
          <w:tcPr>
            <w:tcW w:w="135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CE08EED" w14:textId="77777777" w:rsidR="002B02D6" w:rsidRDefault="002B02D6">
            <w:pPr>
              <w:pStyle w:val="NormalWeb"/>
              <w:spacing w:before="60" w:beforeAutospacing="0" w:after="60" w:afterAutospacing="0"/>
              <w:ind w:left="-17"/>
              <w:jc w:val="center"/>
              <w:rPr>
                <w:sz w:val="22"/>
                <w:szCs w:val="22"/>
              </w:rPr>
            </w:pPr>
            <w:r>
              <w:rPr>
                <w:color w:val="000000"/>
                <w:sz w:val="22"/>
                <w:szCs w:val="22"/>
              </w:rPr>
              <w:t>88.9%</w:t>
            </w:r>
            <w:r>
              <w:rPr>
                <w:color w:val="000000"/>
                <w:sz w:val="22"/>
                <w:szCs w:val="22"/>
              </w:rPr>
              <w:br/>
              <w:t>(20.2, 99.7)</w:t>
            </w:r>
            <w:r>
              <w:rPr>
                <w:color w:val="000000"/>
                <w:sz w:val="22"/>
                <w:szCs w:val="22"/>
                <w:vertAlign w:val="superscript"/>
              </w:rPr>
              <w:t>4</w:t>
            </w:r>
          </w:p>
        </w:tc>
      </w:tr>
    </w:tbl>
    <w:p w14:paraId="2F2C4194"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1</w:t>
      </w:r>
      <w:r>
        <w:rPr>
          <w:sz w:val="18"/>
          <w:szCs w:val="18"/>
        </w:rPr>
        <w:t xml:space="preserve"> Mean disease incidence rate per year in 1000 people.</w:t>
      </w:r>
    </w:p>
    <w:p w14:paraId="4FDC994A"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 xml:space="preserve">2 </w:t>
      </w:r>
      <w:r>
        <w:rPr>
          <w:sz w:val="18"/>
          <w:szCs w:val="18"/>
        </w:rPr>
        <w:t>Based on Log-linear model of occurrence using modified Poisson regression with logarithmic link function, treatment group and strata (age-group and pooled region) as fixed effects and robust error variance [Zou 2004].</w:t>
      </w:r>
    </w:p>
    <w:p w14:paraId="5CF19382"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3</w:t>
      </w:r>
      <w:r>
        <w:rPr>
          <w:sz w:val="18"/>
          <w:szCs w:val="18"/>
        </w:rPr>
        <w:t xml:space="preserve"> Met primary efficacy endpoint criterion for success with a lower bound confidence interval (LBCI) &gt; 30%, efficacy has been confirmed at the interim analysis.</w:t>
      </w:r>
    </w:p>
    <w:p w14:paraId="3AB4C415" w14:textId="77777777" w:rsidR="002B02D6" w:rsidRDefault="002B02D6">
      <w:pPr>
        <w:pStyle w:val="NormalWeb"/>
        <w:spacing w:before="0" w:beforeAutospacing="0" w:after="0" w:afterAutospacing="0" w:line="260" w:lineRule="atLeast"/>
        <w:ind w:left="180" w:right="102" w:hanging="180"/>
        <w:divId w:val="1888711994"/>
        <w:rPr>
          <w:sz w:val="22"/>
          <w:szCs w:val="22"/>
        </w:rPr>
      </w:pPr>
      <w:r>
        <w:rPr>
          <w:sz w:val="18"/>
          <w:szCs w:val="18"/>
          <w:vertAlign w:val="superscript"/>
        </w:rPr>
        <w:t>4</w:t>
      </w:r>
      <w:r>
        <w:rPr>
          <w:sz w:val="18"/>
          <w:szCs w:val="18"/>
        </w:rPr>
        <w:t xml:space="preserve"> </w:t>
      </w:r>
      <w:r>
        <w:rPr>
          <w:sz w:val="18"/>
          <w:szCs w:val="18"/>
        </w:rPr>
        <w:t>Based on the Clopper-Pearson model (due to few events), 95% CIs calculated using the Clopper-Pearson exact binomial method adjusted for the total surveillance time.</w:t>
      </w:r>
    </w:p>
    <w:p w14:paraId="43D33C03" w14:textId="77777777" w:rsidR="002B02D6" w:rsidRDefault="002B02D6">
      <w:pPr>
        <w:pStyle w:val="NormalWeb"/>
        <w:spacing w:before="0" w:beforeAutospacing="0" w:after="0" w:afterAutospacing="0"/>
        <w:divId w:val="1888711994"/>
        <w:rPr>
          <w:sz w:val="22"/>
          <w:szCs w:val="22"/>
        </w:rPr>
      </w:pPr>
      <w:r>
        <w:rPr>
          <w:sz w:val="22"/>
          <w:szCs w:val="22"/>
        </w:rPr>
        <w:t> </w:t>
      </w:r>
    </w:p>
    <w:p w14:paraId="19B20586" w14:textId="77777777" w:rsidR="002B02D6" w:rsidRDefault="002B02D6">
      <w:pPr>
        <w:pStyle w:val="NormalWeb"/>
        <w:spacing w:before="0" w:beforeAutospacing="0" w:after="0" w:afterAutospacing="0"/>
        <w:divId w:val="1888711994"/>
      </w:pPr>
      <w:r>
        <w:rPr>
          <w:rStyle w:val="normaltextrun"/>
          <w:sz w:val="22"/>
          <w:szCs w:val="22"/>
        </w:rPr>
        <w:t>These results reflect enrolment that occurred during the time period when the B.1.1.7 (Alpha) variant was circulating in the UK. Identification of the Alpha variant was based on S gene target failure by PCR. Data were available for 95 of the 106 endpoint cases (90%). Of these, 66 out of 95 (69%) were identified as the Alpha variant with the other cases classified as non-Alpha.</w:t>
      </w:r>
    </w:p>
    <w:p w14:paraId="5D8AB5A0" w14:textId="77777777" w:rsidR="002B02D6" w:rsidRDefault="002B02D6">
      <w:pPr>
        <w:pStyle w:val="NormalWeb"/>
        <w:spacing w:before="0" w:beforeAutospacing="0" w:after="0" w:afterAutospacing="0"/>
        <w:divId w:val="1888711994"/>
        <w:rPr>
          <w:sz w:val="22"/>
          <w:szCs w:val="22"/>
        </w:rPr>
      </w:pPr>
      <w:r>
        <w:rPr>
          <w:sz w:val="22"/>
          <w:szCs w:val="22"/>
        </w:rPr>
        <w:t> </w:t>
      </w:r>
    </w:p>
    <w:p w14:paraId="2D66B410" w14:textId="77777777" w:rsidR="002B02D6" w:rsidRDefault="002B02D6">
      <w:pPr>
        <w:pStyle w:val="NormalWeb"/>
        <w:spacing w:before="0" w:beforeAutospacing="0" w:after="0" w:afterAutospacing="0"/>
        <w:divId w:val="1888711994"/>
        <w:rPr>
          <w:sz w:val="22"/>
          <w:szCs w:val="22"/>
        </w:rPr>
      </w:pPr>
      <w:r>
        <w:rPr>
          <w:sz w:val="22"/>
          <w:szCs w:val="22"/>
        </w:rPr>
        <w:t>No cases of severe COVID-19 were reported in the 7,020 Nuvaxovid participants compared with 4 cases of severe COVID-19 reported in the 7,019 placebo recipients in the PP-EFF analysis set.</w:t>
      </w:r>
    </w:p>
    <w:p w14:paraId="581683BB" w14:textId="77777777" w:rsidR="002B02D6" w:rsidRDefault="002B02D6">
      <w:pPr>
        <w:pStyle w:val="NormalWeb"/>
        <w:spacing w:before="0" w:beforeAutospacing="0" w:after="0" w:afterAutospacing="0"/>
        <w:divId w:val="1888711994"/>
        <w:rPr>
          <w:sz w:val="22"/>
          <w:szCs w:val="22"/>
        </w:rPr>
      </w:pPr>
      <w:r>
        <w:rPr>
          <w:sz w:val="22"/>
          <w:szCs w:val="22"/>
        </w:rPr>
        <w:t> </w:t>
      </w:r>
    </w:p>
    <w:p w14:paraId="72C8866E" w14:textId="77777777" w:rsidR="002B02D6" w:rsidRDefault="002B02D6">
      <w:pPr>
        <w:pStyle w:val="NormalWeb"/>
        <w:spacing w:before="0" w:beforeAutospacing="0" w:after="0" w:afterAutospacing="0" w:line="260" w:lineRule="atLeast"/>
        <w:ind w:right="102"/>
        <w:jc w:val="both"/>
        <w:divId w:val="1888711994"/>
        <w:rPr>
          <w:sz w:val="22"/>
          <w:szCs w:val="22"/>
        </w:rPr>
      </w:pPr>
      <w:r>
        <w:rPr>
          <w:rStyle w:val="Emphasis"/>
          <w:sz w:val="22"/>
          <w:szCs w:val="22"/>
        </w:rPr>
        <w:t>Licensed seasonal influenza vaccine co-administration sub-study</w:t>
      </w:r>
    </w:p>
    <w:p w14:paraId="11DA2093" w14:textId="77777777" w:rsidR="002B02D6" w:rsidRDefault="002B02D6">
      <w:pPr>
        <w:pStyle w:val="NormalWeb"/>
        <w:spacing w:before="0" w:beforeAutospacing="0" w:after="0" w:afterAutospacing="0"/>
        <w:divId w:val="1888711994"/>
        <w:rPr>
          <w:sz w:val="22"/>
          <w:szCs w:val="22"/>
        </w:rPr>
      </w:pPr>
      <w:r>
        <w:rPr>
          <w:sz w:val="22"/>
          <w:szCs w:val="22"/>
        </w:rPr>
        <w:t>Overall, 431 participants were co-vaccinated with inactivated seasonal influenza vaccines; 217 sub-study participants received Nuvaxovid and 214 received placebo. Demographic and baseline characteristics were balanced amongst participants who received Nuvaxovid and participants who received placebo. In the per-protocol immunogenicity (PP-IMM) analysis set for participants who received Nuvaxovid (n=191), median age was 40 years (range: 22 to 70 years); 93% (n=178) were 18 to 64 </w:t>
      </w:r>
      <w:r>
        <w:rPr>
          <w:sz w:val="22"/>
          <w:szCs w:val="22"/>
        </w:rPr>
        <w:t>years old and 7% (n=13) were aged 65 to 84; 43% were female; 75% were White; 23% were multiracial or from ethnic minorities; and 27% had at least one comorbid condition. Co-administration resulted in no change to influenza vaccine immune responses as measured by hemagglutination inhibition (HAI) assay. A 30% reduction in antibody responses to Nuvaxovid was noted as assessed by an anti-spike IgG assay with seroconversion rates similar to participants who did not receive concomitant influenza vaccine (see sec</w:t>
      </w:r>
      <w:r>
        <w:rPr>
          <w:sz w:val="22"/>
          <w:szCs w:val="22"/>
        </w:rPr>
        <w:t>tion 4.5 and section 4.8).</w:t>
      </w:r>
    </w:p>
    <w:p w14:paraId="78206F8E" w14:textId="77777777" w:rsidR="002B02D6" w:rsidRDefault="002B02D6">
      <w:pPr>
        <w:pStyle w:val="NormalWeb"/>
        <w:spacing w:before="0" w:beforeAutospacing="0" w:after="0" w:afterAutospacing="0"/>
        <w:divId w:val="1888711994"/>
        <w:rPr>
          <w:sz w:val="22"/>
          <w:szCs w:val="22"/>
        </w:rPr>
      </w:pPr>
      <w:r>
        <w:rPr>
          <w:sz w:val="22"/>
          <w:szCs w:val="22"/>
        </w:rPr>
        <w:t> </w:t>
      </w:r>
    </w:p>
    <w:p w14:paraId="0F6497B8" w14:textId="77777777" w:rsidR="002B02D6" w:rsidRDefault="002B02D6">
      <w:pPr>
        <w:pStyle w:val="NormalWeb"/>
        <w:spacing w:before="0" w:beforeAutospacing="0" w:after="0" w:afterAutospacing="0" w:line="260" w:lineRule="atLeast"/>
        <w:ind w:right="102"/>
        <w:jc w:val="both"/>
        <w:divId w:val="1888711994"/>
        <w:rPr>
          <w:sz w:val="22"/>
          <w:szCs w:val="22"/>
        </w:rPr>
      </w:pPr>
      <w:r>
        <w:rPr>
          <w:rStyle w:val="Emphasis"/>
          <w:sz w:val="22"/>
          <w:szCs w:val="22"/>
        </w:rPr>
        <w:t>Study 3 (2019nCoV-501)</w:t>
      </w:r>
    </w:p>
    <w:p w14:paraId="211D2E5C" w14:textId="77777777" w:rsidR="002B02D6" w:rsidRDefault="002B02D6">
      <w:pPr>
        <w:pStyle w:val="NormalWeb"/>
        <w:spacing w:before="0" w:beforeAutospacing="0" w:after="0" w:afterAutospacing="0"/>
        <w:divId w:val="1888711994"/>
        <w:rPr>
          <w:sz w:val="22"/>
          <w:szCs w:val="22"/>
        </w:rPr>
      </w:pPr>
      <w:r>
        <w:rPr>
          <w:rStyle w:val="normaltextrun"/>
          <w:sz w:val="22"/>
          <w:szCs w:val="22"/>
        </w:rPr>
        <w:t>Study 3 was a  Phase 2a/b, multicentre, randomised, observer-blinded, placebo-controlled study in HIV-negative participants 18 to 84 years of age and people living with HIV (PLWH) 18 to 64 years of age in South Africa. PLWH were medically stable (free of opportunistic infections), receiving highly active and stable antiretroviral therapy, and having an HIV-1 viral load of &lt; 1000 copies/mL.</w:t>
      </w:r>
    </w:p>
    <w:p w14:paraId="778841F5" w14:textId="77777777" w:rsidR="002B02D6" w:rsidRDefault="002B02D6">
      <w:pPr>
        <w:pStyle w:val="NormalWeb"/>
        <w:spacing w:before="0" w:beforeAutospacing="0" w:after="0" w:afterAutospacing="0"/>
        <w:divId w:val="1888711994"/>
        <w:rPr>
          <w:sz w:val="22"/>
          <w:szCs w:val="22"/>
        </w:rPr>
      </w:pPr>
      <w:r>
        <w:rPr>
          <w:sz w:val="22"/>
          <w:szCs w:val="22"/>
        </w:rPr>
        <w:t> </w:t>
      </w:r>
    </w:p>
    <w:p w14:paraId="4157393B" w14:textId="77777777" w:rsidR="002B02D6" w:rsidRDefault="002B02D6">
      <w:pPr>
        <w:pStyle w:val="NormalWeb"/>
        <w:spacing w:before="0" w:beforeAutospacing="0" w:after="0" w:afterAutospacing="0"/>
        <w:divId w:val="1888711994"/>
        <w:rPr>
          <w:sz w:val="22"/>
          <w:szCs w:val="22"/>
        </w:rPr>
      </w:pPr>
      <w:r>
        <w:rPr>
          <w:sz w:val="22"/>
          <w:szCs w:val="22"/>
        </w:rPr>
        <w:t>Enrolment was completed in November 2020.</w:t>
      </w:r>
    </w:p>
    <w:p w14:paraId="4A3B758F" w14:textId="77777777" w:rsidR="002B02D6" w:rsidRDefault="002B02D6">
      <w:pPr>
        <w:pStyle w:val="NormalWeb"/>
        <w:spacing w:before="0" w:beforeAutospacing="0" w:after="0" w:afterAutospacing="0"/>
        <w:divId w:val="1888711994"/>
        <w:rPr>
          <w:sz w:val="22"/>
          <w:szCs w:val="22"/>
        </w:rPr>
      </w:pPr>
      <w:r>
        <w:rPr>
          <w:sz w:val="22"/>
          <w:szCs w:val="22"/>
        </w:rPr>
        <w:t> </w:t>
      </w:r>
    </w:p>
    <w:p w14:paraId="6619C2B8" w14:textId="77777777" w:rsidR="002B02D6" w:rsidRDefault="002B02D6">
      <w:pPr>
        <w:pStyle w:val="NormalWeb"/>
        <w:spacing w:before="0" w:beforeAutospacing="0" w:after="0" w:afterAutospacing="0"/>
        <w:divId w:val="1888711994"/>
        <w:rPr>
          <w:sz w:val="22"/>
          <w:szCs w:val="22"/>
        </w:rPr>
      </w:pPr>
      <w:r>
        <w:rPr>
          <w:rStyle w:val="normaltextrun"/>
          <w:sz w:val="22"/>
          <w:szCs w:val="22"/>
        </w:rPr>
        <w:t>The primary efficacy analysis set (PP-EFF) included 2,770 participants who received either Nuvaxovid (n=1,408) or placebo (n=1,362), received two doses (Dose 1 on day 0; Dose 2 on day 21), did not experience an exclusionary protocol deviation, and did not have evidence of SARS-CoV-2 infection through 7 days after the second dose.</w:t>
      </w:r>
    </w:p>
    <w:p w14:paraId="054FE989" w14:textId="77777777" w:rsidR="002B02D6" w:rsidRDefault="002B02D6">
      <w:pPr>
        <w:pStyle w:val="NormalWeb"/>
        <w:spacing w:before="0" w:beforeAutospacing="0" w:after="0" w:afterAutospacing="0"/>
        <w:divId w:val="1888711994"/>
        <w:rPr>
          <w:sz w:val="22"/>
          <w:szCs w:val="22"/>
        </w:rPr>
      </w:pPr>
      <w:r>
        <w:rPr>
          <w:sz w:val="22"/>
          <w:szCs w:val="22"/>
        </w:rPr>
        <w:t> </w:t>
      </w:r>
    </w:p>
    <w:p w14:paraId="65BED454" w14:textId="77777777" w:rsidR="002B02D6" w:rsidRDefault="002B02D6">
      <w:pPr>
        <w:pStyle w:val="NormalWeb"/>
        <w:spacing w:before="0" w:beforeAutospacing="0" w:after="0" w:afterAutospacing="0"/>
        <w:divId w:val="1888711994"/>
        <w:rPr>
          <w:sz w:val="22"/>
          <w:szCs w:val="22"/>
        </w:rPr>
      </w:pPr>
      <w:r>
        <w:rPr>
          <w:sz w:val="22"/>
          <w:szCs w:val="22"/>
        </w:rPr>
        <w:t>Demographic and baseline characteristics were balanced amongst participants who received Nuvaxovid and participants who received placebo. In the PP-EFF analysis set for participants who received Nuvaxovid, median age was 28 years (range: 18 to 84 years); 40% were female; 91% were Black/African American; 2% were White; 3% were multiple races, 1% were Asian; and 2% were Hispanic or Latino; and 5.5% were HIV-positive.</w:t>
      </w:r>
    </w:p>
    <w:p w14:paraId="64E4971F" w14:textId="77777777" w:rsidR="002B02D6" w:rsidRDefault="002B02D6">
      <w:pPr>
        <w:pStyle w:val="NormalWeb"/>
        <w:spacing w:before="0" w:beforeAutospacing="0" w:after="0" w:afterAutospacing="0"/>
        <w:divId w:val="1888711994"/>
        <w:rPr>
          <w:sz w:val="22"/>
          <w:szCs w:val="22"/>
        </w:rPr>
      </w:pPr>
      <w:r>
        <w:rPr>
          <w:sz w:val="22"/>
          <w:szCs w:val="22"/>
        </w:rPr>
        <w:t> </w:t>
      </w:r>
    </w:p>
    <w:p w14:paraId="30865CB9" w14:textId="77777777" w:rsidR="002B02D6" w:rsidRDefault="002B02D6">
      <w:pPr>
        <w:pStyle w:val="NormalWeb"/>
        <w:spacing w:before="0" w:beforeAutospacing="0" w:after="0" w:afterAutospacing="0"/>
        <w:divId w:val="1888711994"/>
        <w:rPr>
          <w:sz w:val="22"/>
          <w:szCs w:val="22"/>
        </w:rPr>
      </w:pPr>
      <w:r>
        <w:rPr>
          <w:sz w:val="22"/>
          <w:szCs w:val="22"/>
        </w:rPr>
        <w:t>A total of 147 symptomatic mild, moderate, or severe COVID-19 cases among all adult participants, seronegative (to SARS-CoV-2) at baseline, were accrued for the complete analysis (PP-EFF Analysis Set) of the primary efficacy endpoint, with 51 (3.62%) cases for Nuvaxovid versus 96 (7.05%) cases for placebo. The resultant vaccine efficacy of Nuvaxovid was 48.6% (95% CI: 28.4, 63.1).</w:t>
      </w:r>
    </w:p>
    <w:p w14:paraId="2DA00498" w14:textId="77777777" w:rsidR="002B02D6" w:rsidRDefault="002B02D6">
      <w:pPr>
        <w:pStyle w:val="NormalWeb"/>
        <w:spacing w:before="0" w:beforeAutospacing="0" w:after="0" w:afterAutospacing="0"/>
        <w:divId w:val="1888711994"/>
        <w:rPr>
          <w:sz w:val="22"/>
          <w:szCs w:val="22"/>
        </w:rPr>
      </w:pPr>
      <w:r>
        <w:rPr>
          <w:sz w:val="22"/>
          <w:szCs w:val="22"/>
        </w:rPr>
        <w:t> </w:t>
      </w:r>
    </w:p>
    <w:p w14:paraId="6EDCF775" w14:textId="77777777" w:rsidR="002B02D6" w:rsidRDefault="002B02D6">
      <w:pPr>
        <w:pStyle w:val="NormalWeb"/>
        <w:spacing w:before="0" w:beforeAutospacing="0" w:after="0" w:afterAutospacing="0"/>
        <w:divId w:val="1888711994"/>
        <w:rPr>
          <w:sz w:val="22"/>
          <w:szCs w:val="22"/>
        </w:rPr>
      </w:pPr>
      <w:r>
        <w:rPr>
          <w:sz w:val="22"/>
          <w:szCs w:val="22"/>
        </w:rPr>
        <w:t>These results reflect enrolment that occurred during the time period when the B.1.351 (Beta) variant was circulating in South Africa.</w:t>
      </w:r>
    </w:p>
    <w:p w14:paraId="2E0E4535" w14:textId="77777777" w:rsidR="002B02D6" w:rsidRDefault="002B02D6">
      <w:pPr>
        <w:pStyle w:val="NormalWeb"/>
        <w:spacing w:before="0" w:beforeAutospacing="0" w:after="0" w:afterAutospacing="0"/>
        <w:divId w:val="1888711994"/>
        <w:rPr>
          <w:sz w:val="22"/>
          <w:szCs w:val="22"/>
        </w:rPr>
      </w:pPr>
      <w:r>
        <w:rPr>
          <w:sz w:val="22"/>
          <w:szCs w:val="22"/>
        </w:rPr>
        <w:t> </w:t>
      </w:r>
    </w:p>
    <w:p w14:paraId="7481C5E9" w14:textId="77777777" w:rsidR="002B02D6" w:rsidRDefault="002B02D6">
      <w:pPr>
        <w:pStyle w:val="NormalWeb"/>
        <w:spacing w:before="0" w:beforeAutospacing="0" w:after="0" w:afterAutospacing="0"/>
        <w:divId w:val="1888711994"/>
        <w:rPr>
          <w:sz w:val="22"/>
          <w:szCs w:val="22"/>
        </w:rPr>
      </w:pPr>
      <w:r>
        <w:rPr>
          <w:sz w:val="22"/>
          <w:szCs w:val="22"/>
          <w:u w:val="single"/>
        </w:rPr>
        <w:t>Booster dose</w:t>
      </w:r>
    </w:p>
    <w:p w14:paraId="31927CAC" w14:textId="77777777" w:rsidR="002B02D6" w:rsidRDefault="002B02D6">
      <w:pPr>
        <w:pStyle w:val="NormalWeb"/>
        <w:spacing w:before="0" w:beforeAutospacing="0" w:after="0" w:afterAutospacing="0"/>
        <w:divId w:val="1888711994"/>
        <w:rPr>
          <w:sz w:val="22"/>
          <w:szCs w:val="22"/>
        </w:rPr>
      </w:pPr>
      <w:r>
        <w:rPr>
          <w:sz w:val="22"/>
          <w:szCs w:val="22"/>
        </w:rPr>
        <w:t> </w:t>
      </w:r>
    </w:p>
    <w:p w14:paraId="5BC5A414" w14:textId="77777777" w:rsidR="002B02D6" w:rsidRDefault="002B02D6">
      <w:pPr>
        <w:pStyle w:val="NormalWeb"/>
        <w:spacing w:before="0" w:beforeAutospacing="0" w:after="0" w:afterAutospacing="0" w:line="260" w:lineRule="atLeast"/>
        <w:ind w:right="102"/>
        <w:jc w:val="both"/>
        <w:divId w:val="1888711994"/>
        <w:rPr>
          <w:sz w:val="22"/>
          <w:szCs w:val="22"/>
        </w:rPr>
      </w:pPr>
      <w:r>
        <w:rPr>
          <w:rStyle w:val="Emphasis"/>
          <w:sz w:val="22"/>
          <w:szCs w:val="22"/>
        </w:rPr>
        <w:t xml:space="preserve">Immunogenicity in participants 18 years of age and older </w:t>
      </w:r>
    </w:p>
    <w:p w14:paraId="48348C0D" w14:textId="77777777" w:rsidR="002B02D6" w:rsidRDefault="002B02D6">
      <w:pPr>
        <w:pStyle w:val="NormalWeb"/>
        <w:spacing w:before="0" w:beforeAutospacing="0" w:after="0" w:afterAutospacing="0" w:line="260" w:lineRule="atLeast"/>
        <w:ind w:right="102"/>
        <w:jc w:val="both"/>
        <w:divId w:val="1888711994"/>
        <w:rPr>
          <w:sz w:val="22"/>
          <w:szCs w:val="22"/>
        </w:rPr>
      </w:pPr>
      <w:r>
        <w:rPr>
          <w:rStyle w:val="Emphasis"/>
          <w:sz w:val="22"/>
          <w:szCs w:val="22"/>
        </w:rPr>
        <w:t>Study 2019nCoV-101, Part 2</w:t>
      </w:r>
    </w:p>
    <w:p w14:paraId="22EDA112" w14:textId="77777777" w:rsidR="002B02D6" w:rsidRDefault="002B02D6">
      <w:pPr>
        <w:pStyle w:val="NormalWeb"/>
        <w:spacing w:before="0" w:beforeAutospacing="0" w:after="120" w:afterAutospacing="0"/>
        <w:divId w:val="1888711994"/>
        <w:rPr>
          <w:sz w:val="22"/>
          <w:szCs w:val="22"/>
        </w:rPr>
      </w:pPr>
      <w:r>
        <w:rPr>
          <w:sz w:val="22"/>
          <w:szCs w:val="22"/>
        </w:rPr>
        <w:t>The safety and immunogenicity of a booster dose of Nuvaxovid was evaluated in an ongoing Phase 2 randomised, observer-blinded, placebo-controlled clinical study administered as a single booster dose (Study 2019nCoV-101, Part 2) in healthy adult participants aged 18 to 84 </w:t>
      </w:r>
      <w:r>
        <w:rPr>
          <w:sz w:val="22"/>
          <w:szCs w:val="22"/>
        </w:rPr>
        <w:t>years of age who were seronegative to SARS-CoV-2 at baseline. A total of 254 participants (Full Analysis Set) received two doses of Nuvaxovid (0.5 mL, 5 micrograms 3 weeks apart) as the primary vaccination series. A subset of 104 participants received a booster dose of Nuvaxovid approximately 6 months after receiving Dose </w:t>
      </w:r>
      <w:r>
        <w:rPr>
          <w:sz w:val="22"/>
          <w:szCs w:val="22"/>
        </w:rPr>
        <w:t>2 of the primary series. A single booster dose of Nuvaxovid induced an. approximate 96-fold increase in neutralising antibodies from a GMT of 63 pre-booster (Day 189) to a GMT of 6,023 post-booster (Day 217) and an approximate 4.1-fold increase from a peak GMT (14 days post-Dose 2) of 1,470.</w:t>
      </w:r>
    </w:p>
    <w:p w14:paraId="1148FAEC" w14:textId="77777777" w:rsidR="002B02D6" w:rsidRDefault="002B02D6">
      <w:pPr>
        <w:pStyle w:val="NormalWeb"/>
        <w:spacing w:before="0" w:beforeAutospacing="0" w:after="0" w:afterAutospacing="0"/>
        <w:divId w:val="1888711994"/>
        <w:rPr>
          <w:sz w:val="22"/>
          <w:szCs w:val="22"/>
        </w:rPr>
      </w:pPr>
      <w:r>
        <w:rPr>
          <w:sz w:val="22"/>
          <w:szCs w:val="22"/>
        </w:rPr>
        <w:t> </w:t>
      </w:r>
    </w:p>
    <w:p w14:paraId="37CED8DF" w14:textId="77777777" w:rsidR="002B02D6" w:rsidRDefault="002B02D6">
      <w:pPr>
        <w:pStyle w:val="NormalWeb"/>
        <w:spacing w:before="0" w:beforeAutospacing="0" w:after="0" w:afterAutospacing="0"/>
        <w:divId w:val="1888711994"/>
        <w:rPr>
          <w:sz w:val="22"/>
          <w:szCs w:val="22"/>
        </w:rPr>
      </w:pPr>
      <w:r>
        <w:rPr>
          <w:rStyle w:val="Emphasis"/>
          <w:sz w:val="22"/>
          <w:szCs w:val="22"/>
        </w:rPr>
        <w:t>Study 2019nCoV-501</w:t>
      </w:r>
    </w:p>
    <w:p w14:paraId="1562B224" w14:textId="77777777" w:rsidR="002B02D6" w:rsidRDefault="002B02D6">
      <w:pPr>
        <w:pStyle w:val="NormalWeb"/>
        <w:spacing w:before="0" w:beforeAutospacing="0" w:after="0" w:afterAutospacing="0"/>
        <w:divId w:val="1888711994"/>
        <w:rPr>
          <w:sz w:val="22"/>
          <w:szCs w:val="22"/>
        </w:rPr>
      </w:pPr>
      <w:r>
        <w:rPr>
          <w:sz w:val="22"/>
          <w:szCs w:val="22"/>
        </w:rPr>
        <w:t>In Study 3, a Phase 2a/b randomised, observer-blinded, placebo-controlled study, the safety and immunogenicity of booster dose was evaluated in healthy HIV-negative adult participants 18 to 84 </w:t>
      </w:r>
      <w:r>
        <w:rPr>
          <w:sz w:val="22"/>
          <w:szCs w:val="22"/>
        </w:rPr>
        <w:t>years of age and medically stable PLWH 18 to 64 years of age who were seronegative to SARS-CoV-2 at baseline. A total of 1,173 participants (PP-IMM Analysis Set) received a booster dose of Nuvaxovid approximately 6 months after completion of the primary series of Nuvaxovid (Day </w:t>
      </w:r>
      <w:r>
        <w:rPr>
          <w:sz w:val="22"/>
          <w:szCs w:val="22"/>
        </w:rPr>
        <w:t>201). An approximate 52-fold increase in neutralising antibodies was shown from a GMT of 69 pre-booster (Day 201) to a GMT of 3,600 post-booster (Day 236) and an approximate 5.2-fold increase from a peak GMT (14 days post-Dose 2) of 694.</w:t>
      </w:r>
    </w:p>
    <w:p w14:paraId="0658BB5D" w14:textId="77777777" w:rsidR="002B02D6" w:rsidRDefault="002B02D6">
      <w:pPr>
        <w:pStyle w:val="NormalWeb"/>
        <w:spacing w:before="0" w:beforeAutospacing="0" w:after="0" w:afterAutospacing="0"/>
        <w:divId w:val="1888711994"/>
        <w:rPr>
          <w:sz w:val="22"/>
          <w:szCs w:val="22"/>
        </w:rPr>
      </w:pPr>
      <w:r>
        <w:rPr>
          <w:sz w:val="22"/>
          <w:szCs w:val="22"/>
        </w:rPr>
        <w:t> </w:t>
      </w:r>
    </w:p>
    <w:p w14:paraId="15189FAD" w14:textId="77777777" w:rsidR="002B02D6" w:rsidRDefault="002B02D6">
      <w:pPr>
        <w:pStyle w:val="NormalWeb"/>
        <w:spacing w:before="0" w:beforeAutospacing="0" w:after="0" w:afterAutospacing="0"/>
        <w:divId w:val="1888711994"/>
        <w:rPr>
          <w:sz w:val="22"/>
          <w:szCs w:val="22"/>
        </w:rPr>
      </w:pPr>
      <w:r>
        <w:rPr>
          <w:sz w:val="22"/>
          <w:szCs w:val="22"/>
        </w:rPr>
        <w:t>Safety and immunogenicity of COVID-19 vaccines given as booster doses following completion of a primary vaccination series with another authorised COVID-19 vaccine was evaluated in an independent study in the UK. </w:t>
      </w:r>
    </w:p>
    <w:p w14:paraId="6CB26EDC" w14:textId="77777777" w:rsidR="002B02D6" w:rsidRDefault="002B02D6">
      <w:pPr>
        <w:pStyle w:val="NormalWeb"/>
        <w:spacing w:before="0" w:beforeAutospacing="0" w:after="0" w:afterAutospacing="0"/>
        <w:divId w:val="1888711994"/>
        <w:rPr>
          <w:sz w:val="22"/>
          <w:szCs w:val="22"/>
        </w:rPr>
      </w:pPr>
      <w:r>
        <w:rPr>
          <w:sz w:val="22"/>
          <w:szCs w:val="22"/>
        </w:rPr>
        <w:t> </w:t>
      </w:r>
    </w:p>
    <w:p w14:paraId="1453E4E9" w14:textId="77777777" w:rsidR="002B02D6" w:rsidRDefault="002B02D6">
      <w:pPr>
        <w:pStyle w:val="NormalWeb"/>
        <w:spacing w:before="0" w:beforeAutospacing="0" w:after="0" w:afterAutospacing="0"/>
        <w:divId w:val="1888711994"/>
        <w:rPr>
          <w:sz w:val="22"/>
          <w:szCs w:val="22"/>
        </w:rPr>
      </w:pPr>
      <w:r>
        <w:rPr>
          <w:sz w:val="22"/>
          <w:szCs w:val="22"/>
        </w:rPr>
        <w:t>The independent, multicentre, randomised, controlled, Phase 2 investigator-initiated trial (CoV-BOOST, EudraCT 2021-002175-19) investigated the immunogenicity of a booster in adults aged 30 years and older with no history of laboratory-confirmed SARS-CoV-2 infection. Nuvaxovid was administered at least 70 days after completion of a ChAdOx1 nCov-19 (Oxford–AstraZeneca) primary vaccination series or at least 84 days after completion of a BNT162b2 (Pfizer–</w:t>
      </w:r>
      <w:r>
        <w:rPr>
          <w:sz w:val="22"/>
          <w:szCs w:val="22"/>
        </w:rPr>
        <w:t>BioNTech) primary vaccination series. Neutralising antibody titers measured by a wild-type assay were assessed 28 days post-booster dose. Within the group assigned to receive Nuvaxovid, 115 participants received a two-dose primary series of ChAdOx1 nCov-19 and 114 participants received a two-dose primary series of BNT162b2, prior to receiving a single booster dose (0.5 mL) of Nuvaxovid. Nuvaxovid demonstrated a booster response regardless of the vaccine used for primary vaccination. </w:t>
      </w:r>
    </w:p>
    <w:p w14:paraId="71818334" w14:textId="77777777" w:rsidR="002B02D6" w:rsidRDefault="002B02D6">
      <w:pPr>
        <w:pStyle w:val="NormalWeb"/>
        <w:spacing w:before="0" w:beforeAutospacing="0" w:after="0" w:afterAutospacing="0" w:line="260" w:lineRule="atLeast"/>
        <w:ind w:right="102"/>
        <w:jc w:val="both"/>
        <w:divId w:val="1888711994"/>
        <w:rPr>
          <w:sz w:val="22"/>
          <w:szCs w:val="22"/>
        </w:rPr>
      </w:pPr>
      <w:r>
        <w:rPr>
          <w:rStyle w:val="Emphasis"/>
          <w:sz w:val="22"/>
          <w:szCs w:val="22"/>
        </w:rPr>
        <w:t> </w:t>
      </w:r>
    </w:p>
    <w:p w14:paraId="10934373" w14:textId="77777777" w:rsidR="002B02D6" w:rsidRDefault="002B02D6">
      <w:pPr>
        <w:pStyle w:val="NormalWeb"/>
        <w:spacing w:before="0" w:beforeAutospacing="0" w:after="0" w:afterAutospacing="0" w:line="260" w:lineRule="atLeast"/>
        <w:ind w:right="102"/>
        <w:jc w:val="both"/>
        <w:divId w:val="1888711994"/>
        <w:rPr>
          <w:sz w:val="22"/>
          <w:szCs w:val="22"/>
        </w:rPr>
      </w:pPr>
      <w:r>
        <w:rPr>
          <w:rStyle w:val="Emphasis"/>
          <w:sz w:val="22"/>
          <w:szCs w:val="22"/>
        </w:rPr>
        <w:t>Booster dose in Adolescents 12 through 17 years of age</w:t>
      </w:r>
    </w:p>
    <w:p w14:paraId="7C8F5948" w14:textId="77777777" w:rsidR="002B02D6" w:rsidRDefault="002B02D6">
      <w:pPr>
        <w:pStyle w:val="NormalWeb"/>
        <w:spacing w:before="0" w:beforeAutospacing="0" w:after="0" w:afterAutospacing="0" w:line="260" w:lineRule="atLeast"/>
        <w:ind w:right="102"/>
        <w:jc w:val="both"/>
        <w:divId w:val="1888711994"/>
        <w:rPr>
          <w:sz w:val="22"/>
          <w:szCs w:val="22"/>
        </w:rPr>
      </w:pPr>
      <w:r>
        <w:rPr>
          <w:sz w:val="22"/>
          <w:szCs w:val="22"/>
        </w:rPr>
        <w:t>The effectiveness of booster doses of Nuvaxovid in adolescents 12 through 17 years of age is inferred from data gathered for booster doses of the vaccine in adults in studies 2019nCoV-101 and 2019nCoV-501, as Nuvaxovid has been shown to induce a comparable immune response and effectiveness after the primary series in adolescents as in adults, and the ability to boost the vaccine-induced immune response was shown in adults.</w:t>
      </w:r>
    </w:p>
    <w:p w14:paraId="22611C70" w14:textId="77777777" w:rsidR="002B02D6" w:rsidRDefault="002B02D6">
      <w:pPr>
        <w:pStyle w:val="NormalWeb"/>
        <w:spacing w:before="0" w:beforeAutospacing="0" w:after="0" w:afterAutospacing="0"/>
        <w:divId w:val="1888711994"/>
        <w:rPr>
          <w:sz w:val="22"/>
          <w:szCs w:val="22"/>
        </w:rPr>
      </w:pPr>
      <w:r>
        <w:rPr>
          <w:sz w:val="22"/>
          <w:szCs w:val="22"/>
        </w:rPr>
        <w:t> </w:t>
      </w:r>
    </w:p>
    <w:p w14:paraId="028CC324" w14:textId="77777777" w:rsidR="002B02D6" w:rsidRDefault="002B02D6">
      <w:pPr>
        <w:pStyle w:val="NormalWeb"/>
        <w:spacing w:before="0" w:beforeAutospacing="0" w:after="0" w:afterAutospacing="0"/>
        <w:divId w:val="1888711994"/>
        <w:rPr>
          <w:sz w:val="22"/>
          <w:szCs w:val="22"/>
        </w:rPr>
      </w:pPr>
      <w:r>
        <w:rPr>
          <w:sz w:val="22"/>
          <w:szCs w:val="22"/>
          <w:u w:val="single"/>
        </w:rPr>
        <w:t>Elderly population</w:t>
      </w:r>
    </w:p>
    <w:p w14:paraId="6D26F65F" w14:textId="77777777" w:rsidR="002B02D6" w:rsidRDefault="002B02D6">
      <w:pPr>
        <w:pStyle w:val="NormalWeb"/>
        <w:spacing w:before="0" w:beforeAutospacing="0" w:after="0" w:afterAutospacing="0"/>
        <w:divId w:val="1888711994"/>
        <w:rPr>
          <w:sz w:val="22"/>
          <w:szCs w:val="22"/>
        </w:rPr>
      </w:pPr>
      <w:r>
        <w:rPr>
          <w:sz w:val="22"/>
          <w:szCs w:val="22"/>
        </w:rPr>
        <w:t> </w:t>
      </w:r>
    </w:p>
    <w:p w14:paraId="0AC6807F" w14:textId="77777777" w:rsidR="002B02D6" w:rsidRDefault="002B02D6">
      <w:pPr>
        <w:pStyle w:val="NormalWeb"/>
        <w:spacing w:before="0" w:beforeAutospacing="0" w:after="0" w:afterAutospacing="0"/>
        <w:divId w:val="1888711994"/>
        <w:rPr>
          <w:sz w:val="22"/>
          <w:szCs w:val="22"/>
        </w:rPr>
      </w:pPr>
      <w:r>
        <w:rPr>
          <w:sz w:val="22"/>
          <w:szCs w:val="22"/>
        </w:rPr>
        <w:t>Nuvaxovid was assessed in individuals 18 years of age and older. The efficacy of Nuvaxovid was consistent between elderly (≥ 65 years) and younger individuals (18 to 64 years) for the primary series.</w:t>
      </w:r>
    </w:p>
    <w:p w14:paraId="7C3C346A" w14:textId="77777777" w:rsidR="002B02D6" w:rsidRDefault="002B02D6">
      <w:pPr>
        <w:pStyle w:val="NormalWeb"/>
        <w:spacing w:before="0" w:beforeAutospacing="0" w:after="0" w:afterAutospacing="0"/>
        <w:divId w:val="1888711994"/>
        <w:rPr>
          <w:sz w:val="22"/>
          <w:szCs w:val="22"/>
        </w:rPr>
      </w:pPr>
      <w:r>
        <w:rPr>
          <w:sz w:val="22"/>
          <w:szCs w:val="22"/>
        </w:rPr>
        <w:t> </w:t>
      </w:r>
    </w:p>
    <w:p w14:paraId="2CB3D420" w14:textId="77777777" w:rsidR="002B02D6" w:rsidRDefault="002B02D6">
      <w:pPr>
        <w:pStyle w:val="NormalWeb"/>
        <w:spacing w:before="0" w:beforeAutospacing="0" w:after="0" w:afterAutospacing="0" w:line="260" w:lineRule="atLeast"/>
        <w:divId w:val="1888711994"/>
        <w:rPr>
          <w:sz w:val="22"/>
          <w:szCs w:val="22"/>
        </w:rPr>
      </w:pPr>
      <w:r>
        <w:rPr>
          <w:sz w:val="22"/>
          <w:szCs w:val="22"/>
          <w:u w:val="single"/>
        </w:rPr>
        <w:t>Paediatric population</w:t>
      </w:r>
    </w:p>
    <w:p w14:paraId="09DD8EA5" w14:textId="77777777" w:rsidR="002B02D6" w:rsidRDefault="002B02D6">
      <w:pPr>
        <w:pStyle w:val="NormalWeb"/>
        <w:spacing w:before="0" w:beforeAutospacing="0" w:after="0" w:afterAutospacing="0" w:line="260" w:lineRule="atLeast"/>
        <w:divId w:val="1888711994"/>
        <w:rPr>
          <w:sz w:val="22"/>
          <w:szCs w:val="22"/>
        </w:rPr>
      </w:pPr>
      <w:r>
        <w:rPr>
          <w:sz w:val="22"/>
          <w:szCs w:val="22"/>
        </w:rPr>
        <w:t> </w:t>
      </w:r>
    </w:p>
    <w:p w14:paraId="13B5FA34" w14:textId="77777777" w:rsidR="002B02D6" w:rsidRDefault="002B02D6">
      <w:pPr>
        <w:pStyle w:val="NormalWeb"/>
        <w:spacing w:before="0" w:beforeAutospacing="0" w:after="0" w:afterAutospacing="0" w:line="260" w:lineRule="atLeast"/>
        <w:divId w:val="1888711994"/>
        <w:rPr>
          <w:sz w:val="22"/>
          <w:szCs w:val="22"/>
        </w:rPr>
      </w:pPr>
      <w:r>
        <w:rPr>
          <w:sz w:val="22"/>
          <w:szCs w:val="22"/>
        </w:rPr>
        <w:t>The European Medicines Agency has deferred the obligation to submit the results of studies with Nuvaxovid in one or more subsets of the paediatric population in prevention of COVID-19, see section 4.2 for information on paediatric use.</w:t>
      </w:r>
    </w:p>
    <w:p w14:paraId="474C6173" w14:textId="77777777" w:rsidR="002B02D6" w:rsidRDefault="002B02D6">
      <w:pPr>
        <w:pStyle w:val="NormalWeb"/>
        <w:spacing w:before="0" w:beforeAutospacing="0" w:after="0" w:afterAutospacing="0" w:line="260" w:lineRule="atLeast"/>
        <w:divId w:val="1888711994"/>
        <w:rPr>
          <w:sz w:val="22"/>
          <w:szCs w:val="22"/>
        </w:rPr>
      </w:pPr>
      <w:r>
        <w:rPr>
          <w:sz w:val="22"/>
          <w:szCs w:val="22"/>
        </w:rPr>
        <w:t> </w:t>
      </w:r>
    </w:p>
    <w:p w14:paraId="58435A55" w14:textId="77777777" w:rsidR="002B02D6" w:rsidRDefault="002B02D6">
      <w:pPr>
        <w:pStyle w:val="NormalWeb"/>
      </w:pPr>
      <w:r>
        <w:t>5.2 Pharmacokinetic properties</w:t>
      </w:r>
    </w:p>
    <w:p w14:paraId="2AED5BC0" w14:textId="77777777" w:rsidR="002B02D6" w:rsidRDefault="002B02D6">
      <w:pPr>
        <w:pStyle w:val="NormalWeb"/>
        <w:divId w:val="1456288459"/>
      </w:pPr>
      <w:r>
        <w:t> </w:t>
      </w:r>
    </w:p>
    <w:p w14:paraId="6EE5ABAA" w14:textId="77777777" w:rsidR="002B02D6" w:rsidRDefault="002B02D6">
      <w:pPr>
        <w:pStyle w:val="NormalWeb"/>
        <w:spacing w:before="0" w:beforeAutospacing="0" w:after="0" w:afterAutospacing="0" w:line="260" w:lineRule="atLeast"/>
        <w:divId w:val="1456288459"/>
        <w:rPr>
          <w:sz w:val="22"/>
          <w:szCs w:val="22"/>
        </w:rPr>
      </w:pPr>
      <w:r>
        <w:rPr>
          <w:sz w:val="22"/>
          <w:szCs w:val="22"/>
        </w:rPr>
        <w:t>Not applicable.</w:t>
      </w:r>
    </w:p>
    <w:p w14:paraId="7BF78D91" w14:textId="77777777" w:rsidR="002B02D6" w:rsidRDefault="002B02D6">
      <w:pPr>
        <w:pStyle w:val="NormalWeb"/>
        <w:spacing w:before="0" w:beforeAutospacing="0" w:after="0" w:afterAutospacing="0" w:line="260" w:lineRule="atLeast"/>
        <w:divId w:val="1456288459"/>
        <w:rPr>
          <w:sz w:val="22"/>
          <w:szCs w:val="22"/>
        </w:rPr>
      </w:pPr>
      <w:r>
        <w:rPr>
          <w:sz w:val="22"/>
          <w:szCs w:val="22"/>
        </w:rPr>
        <w:t> </w:t>
      </w:r>
    </w:p>
    <w:p w14:paraId="62FEFAC5" w14:textId="77777777" w:rsidR="002B02D6" w:rsidRDefault="002B02D6">
      <w:pPr>
        <w:pStyle w:val="NormalWeb"/>
      </w:pPr>
      <w:r>
        <w:t>5.3 Preclinical safety data</w:t>
      </w:r>
    </w:p>
    <w:p w14:paraId="6AE74496" w14:textId="77777777" w:rsidR="002B02D6" w:rsidRDefault="002B02D6">
      <w:pPr>
        <w:pStyle w:val="NormalWeb"/>
        <w:spacing w:before="0" w:beforeAutospacing="0" w:after="0" w:afterAutospacing="0" w:line="260" w:lineRule="atLeast"/>
        <w:divId w:val="882980870"/>
        <w:rPr>
          <w:sz w:val="22"/>
          <w:szCs w:val="22"/>
        </w:rPr>
      </w:pPr>
      <w:r>
        <w:rPr>
          <w:sz w:val="22"/>
          <w:szCs w:val="22"/>
        </w:rPr>
        <w:t> </w:t>
      </w:r>
    </w:p>
    <w:p w14:paraId="453F1358" w14:textId="77777777" w:rsidR="002B02D6" w:rsidRDefault="002B02D6">
      <w:pPr>
        <w:pStyle w:val="NormalWeb"/>
        <w:spacing w:before="0" w:beforeAutospacing="0" w:after="0" w:afterAutospacing="0"/>
        <w:divId w:val="882980870"/>
        <w:rPr>
          <w:sz w:val="22"/>
          <w:szCs w:val="22"/>
        </w:rPr>
      </w:pPr>
      <w:r>
        <w:rPr>
          <w:sz w:val="22"/>
          <w:szCs w:val="22"/>
        </w:rPr>
        <w:t>Non-clinical data reveal no special hazard for humans based on conventional studies of repeat-dose toxicity, local tolerance and reproductive and developmental toxicity.</w:t>
      </w:r>
    </w:p>
    <w:p w14:paraId="1FD6038B" w14:textId="77777777" w:rsidR="002B02D6" w:rsidRDefault="002B02D6">
      <w:pPr>
        <w:pStyle w:val="NormalWeb"/>
        <w:spacing w:before="0" w:beforeAutospacing="0" w:after="0" w:afterAutospacing="0"/>
        <w:divId w:val="882980870"/>
        <w:rPr>
          <w:sz w:val="22"/>
          <w:szCs w:val="22"/>
        </w:rPr>
      </w:pPr>
      <w:r>
        <w:rPr>
          <w:sz w:val="22"/>
          <w:szCs w:val="22"/>
        </w:rPr>
        <w:t> </w:t>
      </w:r>
    </w:p>
    <w:p w14:paraId="7052A689" w14:textId="77777777" w:rsidR="002B02D6" w:rsidRDefault="002B02D6">
      <w:pPr>
        <w:pStyle w:val="NormalWeb"/>
        <w:spacing w:before="0" w:beforeAutospacing="0" w:after="0" w:afterAutospacing="0"/>
        <w:divId w:val="882980870"/>
        <w:rPr>
          <w:sz w:val="22"/>
          <w:szCs w:val="22"/>
        </w:rPr>
      </w:pPr>
      <w:r>
        <w:rPr>
          <w:sz w:val="22"/>
          <w:szCs w:val="22"/>
          <w:u w:val="single"/>
        </w:rPr>
        <w:t>Genotoxicity and Carcinogenicity</w:t>
      </w:r>
    </w:p>
    <w:p w14:paraId="2DCBDB12" w14:textId="77777777" w:rsidR="002B02D6" w:rsidRDefault="002B02D6">
      <w:pPr>
        <w:pStyle w:val="NormalWeb"/>
        <w:spacing w:before="0" w:beforeAutospacing="0" w:after="0" w:afterAutospacing="0"/>
        <w:divId w:val="882980870"/>
        <w:rPr>
          <w:sz w:val="22"/>
          <w:szCs w:val="22"/>
        </w:rPr>
      </w:pPr>
      <w:r>
        <w:rPr>
          <w:sz w:val="22"/>
          <w:szCs w:val="22"/>
        </w:rPr>
        <w:t> </w:t>
      </w:r>
    </w:p>
    <w:p w14:paraId="009FFA6A" w14:textId="77777777" w:rsidR="002B02D6" w:rsidRDefault="002B02D6">
      <w:pPr>
        <w:pStyle w:val="NormalWeb"/>
        <w:spacing w:before="0" w:beforeAutospacing="0" w:after="0" w:afterAutospacing="0"/>
        <w:divId w:val="882980870"/>
        <w:rPr>
          <w:sz w:val="22"/>
          <w:szCs w:val="22"/>
        </w:rPr>
      </w:pPr>
      <w:r>
        <w:rPr>
          <w:sz w:val="22"/>
          <w:szCs w:val="22"/>
        </w:rPr>
        <w:t>In vitro genotoxicity studies were conducted with the Matrix-M adjuvant. The adjuvant was shown to be non-genotoxic. Carcinogenicity studies were not performed. Carcinogenicity is not expected.</w:t>
      </w:r>
    </w:p>
    <w:p w14:paraId="145662D1" w14:textId="77777777" w:rsidR="002B02D6" w:rsidRDefault="002B02D6">
      <w:pPr>
        <w:pStyle w:val="NormalWeb"/>
        <w:spacing w:before="0" w:beforeAutospacing="0" w:after="0" w:afterAutospacing="0"/>
        <w:divId w:val="882980870"/>
        <w:rPr>
          <w:sz w:val="22"/>
          <w:szCs w:val="22"/>
        </w:rPr>
      </w:pPr>
      <w:r>
        <w:rPr>
          <w:sz w:val="22"/>
          <w:szCs w:val="22"/>
        </w:rPr>
        <w:t> </w:t>
      </w:r>
    </w:p>
    <w:p w14:paraId="5119A925" w14:textId="77777777" w:rsidR="002B02D6" w:rsidRDefault="002B02D6">
      <w:pPr>
        <w:pStyle w:val="NormalWeb"/>
        <w:spacing w:before="0" w:beforeAutospacing="0" w:after="0" w:afterAutospacing="0"/>
        <w:divId w:val="882980870"/>
        <w:rPr>
          <w:sz w:val="22"/>
          <w:szCs w:val="22"/>
        </w:rPr>
      </w:pPr>
      <w:r>
        <w:rPr>
          <w:sz w:val="22"/>
          <w:szCs w:val="22"/>
          <w:u w:val="single"/>
        </w:rPr>
        <w:t>Reproductive toxicity</w:t>
      </w:r>
    </w:p>
    <w:p w14:paraId="607ABEC7" w14:textId="77777777" w:rsidR="002B02D6" w:rsidRDefault="002B02D6">
      <w:pPr>
        <w:pStyle w:val="NormalWeb"/>
        <w:spacing w:before="0" w:beforeAutospacing="0" w:after="0" w:afterAutospacing="0"/>
        <w:divId w:val="882980870"/>
        <w:rPr>
          <w:sz w:val="22"/>
          <w:szCs w:val="22"/>
        </w:rPr>
      </w:pPr>
      <w:r>
        <w:rPr>
          <w:sz w:val="22"/>
          <w:szCs w:val="22"/>
        </w:rPr>
        <w:t> </w:t>
      </w:r>
    </w:p>
    <w:p w14:paraId="5FF5C1B7" w14:textId="77777777" w:rsidR="002B02D6" w:rsidRDefault="002B02D6">
      <w:pPr>
        <w:pStyle w:val="NormalWeb"/>
        <w:spacing w:before="0" w:beforeAutospacing="0" w:after="0" w:afterAutospacing="0"/>
        <w:divId w:val="882980870"/>
        <w:rPr>
          <w:sz w:val="22"/>
          <w:szCs w:val="22"/>
        </w:rPr>
      </w:pPr>
      <w:r>
        <w:rPr>
          <w:sz w:val="22"/>
          <w:szCs w:val="22"/>
        </w:rPr>
        <w:t>A developmental and reproductive toxicity study was performed in female rats administered four intramuscular doses (two prior to mating; two during gestation) of 5 micrograms SARS-CoV-2 rS protein (approximately 200-fold excess relative to the human dose of 5 micrograms on a weight-adjusted basis) with 10 micrograms Matrix-M adjuvant (approximately 40-fold excess relative to the human dose of 50 </w:t>
      </w:r>
      <w:r>
        <w:rPr>
          <w:sz w:val="22"/>
          <w:szCs w:val="22"/>
        </w:rPr>
        <w:t>micrograms on a weight-adjusted basis). No vaccine-related adverse effects on fertility, pregnancy/lactation, or development of the embryo/foetus and offspring through post-natal Day 21 were observed.</w:t>
      </w:r>
    </w:p>
    <w:p w14:paraId="7215791F" w14:textId="77777777" w:rsidR="002B02D6" w:rsidRDefault="002B02D6">
      <w:pPr>
        <w:pStyle w:val="NormalWeb"/>
        <w:spacing w:before="0" w:beforeAutospacing="0" w:after="0" w:afterAutospacing="0"/>
        <w:divId w:val="882980870"/>
        <w:rPr>
          <w:sz w:val="22"/>
          <w:szCs w:val="22"/>
        </w:rPr>
      </w:pPr>
      <w:r>
        <w:rPr>
          <w:sz w:val="22"/>
          <w:szCs w:val="22"/>
        </w:rPr>
        <w:t> </w:t>
      </w:r>
    </w:p>
    <w:p w14:paraId="3CD48CD4" w14:textId="77777777" w:rsidR="002B02D6" w:rsidRDefault="002B02D6">
      <w:pPr>
        <w:pStyle w:val="NormalWeb"/>
        <w:spacing w:before="0" w:beforeAutospacing="0" w:after="0" w:afterAutospacing="0"/>
        <w:divId w:val="882980870"/>
        <w:rPr>
          <w:sz w:val="22"/>
          <w:szCs w:val="22"/>
        </w:rPr>
      </w:pPr>
      <w:r>
        <w:rPr>
          <w:sz w:val="22"/>
          <w:szCs w:val="22"/>
        </w:rPr>
        <w:t> </w:t>
      </w:r>
    </w:p>
    <w:p w14:paraId="412B7084" w14:textId="77777777" w:rsidR="002B02D6" w:rsidRDefault="002B02D6">
      <w:pPr>
        <w:pStyle w:val="NormalWeb"/>
      </w:pPr>
      <w:r>
        <w:t>6. PHARMACEUTICAL PARTICULARS</w:t>
      </w:r>
    </w:p>
    <w:p w14:paraId="3A884714" w14:textId="77777777" w:rsidR="002B02D6" w:rsidRDefault="002B02D6">
      <w:pPr>
        <w:divId w:val="1776828596"/>
        <w:rPr>
          <w:rFonts w:eastAsia="Times New Roman"/>
        </w:rPr>
      </w:pPr>
      <w:r>
        <w:rPr>
          <w:rFonts w:eastAsia="Times New Roman"/>
        </w:rPr>
        <w:t> </w:t>
      </w:r>
    </w:p>
    <w:p w14:paraId="191B9CEA" w14:textId="77777777" w:rsidR="002B02D6" w:rsidRDefault="002B02D6">
      <w:pPr>
        <w:pStyle w:val="NormalWeb"/>
      </w:pPr>
      <w:r>
        <w:t>6.1 List of excipients</w:t>
      </w:r>
    </w:p>
    <w:p w14:paraId="535F7DE5" w14:textId="77777777" w:rsidR="002B02D6" w:rsidRDefault="002B02D6">
      <w:pPr>
        <w:pStyle w:val="NormalWeb"/>
        <w:spacing w:before="0" w:beforeAutospacing="0" w:after="0" w:afterAutospacing="0"/>
        <w:divId w:val="1736931967"/>
        <w:rPr>
          <w:sz w:val="22"/>
          <w:szCs w:val="22"/>
        </w:rPr>
      </w:pPr>
      <w:r>
        <w:rPr>
          <w:sz w:val="22"/>
          <w:szCs w:val="22"/>
        </w:rPr>
        <w:t> </w:t>
      </w:r>
    </w:p>
    <w:p w14:paraId="116D9F93" w14:textId="77777777" w:rsidR="002B02D6" w:rsidRDefault="002B02D6">
      <w:pPr>
        <w:pStyle w:val="NormalWeb"/>
        <w:spacing w:before="0" w:beforeAutospacing="0" w:after="0" w:afterAutospacing="0"/>
        <w:divId w:val="1736931967"/>
        <w:rPr>
          <w:sz w:val="22"/>
          <w:szCs w:val="22"/>
        </w:rPr>
      </w:pPr>
      <w:r>
        <w:rPr>
          <w:sz w:val="22"/>
          <w:szCs w:val="22"/>
        </w:rPr>
        <w:t>Disodium hydrogen phosphate heptahydrate</w:t>
      </w:r>
    </w:p>
    <w:p w14:paraId="358F74AA" w14:textId="77777777" w:rsidR="002B02D6" w:rsidRDefault="002B02D6">
      <w:pPr>
        <w:pStyle w:val="NormalWeb"/>
        <w:spacing w:before="0" w:beforeAutospacing="0" w:after="0" w:afterAutospacing="0"/>
        <w:divId w:val="1736931967"/>
        <w:rPr>
          <w:sz w:val="22"/>
          <w:szCs w:val="22"/>
        </w:rPr>
      </w:pPr>
      <w:r>
        <w:rPr>
          <w:sz w:val="22"/>
          <w:szCs w:val="22"/>
        </w:rPr>
        <w:t>Sodium dihydrogen phosphate monohydrate</w:t>
      </w:r>
    </w:p>
    <w:p w14:paraId="5B7B6251" w14:textId="77777777" w:rsidR="002B02D6" w:rsidRDefault="002B02D6">
      <w:pPr>
        <w:pStyle w:val="NormalWeb"/>
        <w:spacing w:before="0" w:beforeAutospacing="0" w:after="0" w:afterAutospacing="0"/>
        <w:divId w:val="1736931967"/>
        <w:rPr>
          <w:sz w:val="22"/>
          <w:szCs w:val="22"/>
        </w:rPr>
      </w:pPr>
      <w:r>
        <w:rPr>
          <w:sz w:val="22"/>
          <w:szCs w:val="22"/>
        </w:rPr>
        <w:t>Sodium chloride</w:t>
      </w:r>
    </w:p>
    <w:p w14:paraId="27779EFC" w14:textId="77777777" w:rsidR="002B02D6" w:rsidRDefault="002B02D6">
      <w:pPr>
        <w:pStyle w:val="NormalWeb"/>
        <w:spacing w:before="0" w:beforeAutospacing="0" w:after="0" w:afterAutospacing="0"/>
        <w:divId w:val="1736931967"/>
        <w:rPr>
          <w:sz w:val="22"/>
          <w:szCs w:val="22"/>
        </w:rPr>
      </w:pPr>
      <w:r>
        <w:rPr>
          <w:sz w:val="22"/>
          <w:szCs w:val="22"/>
        </w:rPr>
        <w:t>Polysorbate 80</w:t>
      </w:r>
    </w:p>
    <w:p w14:paraId="331AF00E" w14:textId="77777777" w:rsidR="002B02D6" w:rsidRDefault="002B02D6">
      <w:pPr>
        <w:pStyle w:val="NormalWeb"/>
        <w:spacing w:before="0" w:beforeAutospacing="0" w:after="0" w:afterAutospacing="0"/>
        <w:divId w:val="1736931967"/>
        <w:rPr>
          <w:sz w:val="22"/>
          <w:szCs w:val="22"/>
        </w:rPr>
      </w:pPr>
      <w:r>
        <w:rPr>
          <w:sz w:val="22"/>
          <w:szCs w:val="22"/>
        </w:rPr>
        <w:t>Sodium hydroxide (for adjustment of pH)</w:t>
      </w:r>
    </w:p>
    <w:p w14:paraId="2B782001" w14:textId="77777777" w:rsidR="002B02D6" w:rsidRDefault="002B02D6">
      <w:pPr>
        <w:pStyle w:val="NormalWeb"/>
        <w:spacing w:before="0" w:beforeAutospacing="0" w:after="0" w:afterAutospacing="0"/>
        <w:divId w:val="1736931967"/>
        <w:rPr>
          <w:sz w:val="22"/>
          <w:szCs w:val="22"/>
        </w:rPr>
      </w:pPr>
      <w:r>
        <w:rPr>
          <w:sz w:val="22"/>
          <w:szCs w:val="22"/>
        </w:rPr>
        <w:t>Hydrochloric acid (for adjustment of pH)</w:t>
      </w:r>
    </w:p>
    <w:p w14:paraId="3A7094D0" w14:textId="77777777" w:rsidR="002B02D6" w:rsidRDefault="002B02D6">
      <w:pPr>
        <w:pStyle w:val="NormalWeb"/>
        <w:spacing w:before="0" w:beforeAutospacing="0" w:after="0" w:afterAutospacing="0"/>
        <w:divId w:val="1736931967"/>
        <w:rPr>
          <w:sz w:val="22"/>
          <w:szCs w:val="22"/>
        </w:rPr>
      </w:pPr>
      <w:r>
        <w:rPr>
          <w:sz w:val="22"/>
          <w:szCs w:val="22"/>
        </w:rPr>
        <w:t>Water for injections</w:t>
      </w:r>
    </w:p>
    <w:p w14:paraId="0C09D039" w14:textId="77777777" w:rsidR="002B02D6" w:rsidRDefault="002B02D6">
      <w:pPr>
        <w:pStyle w:val="NormalWeb"/>
        <w:spacing w:before="0" w:beforeAutospacing="0" w:after="0" w:afterAutospacing="0"/>
        <w:divId w:val="1736931967"/>
        <w:rPr>
          <w:sz w:val="22"/>
          <w:szCs w:val="22"/>
        </w:rPr>
      </w:pPr>
      <w:r>
        <w:rPr>
          <w:sz w:val="22"/>
          <w:szCs w:val="22"/>
        </w:rPr>
        <w:t> </w:t>
      </w:r>
    </w:p>
    <w:p w14:paraId="6F85DA52" w14:textId="77777777" w:rsidR="002B02D6" w:rsidRDefault="002B02D6">
      <w:pPr>
        <w:pStyle w:val="NormalWeb"/>
        <w:spacing w:before="0" w:beforeAutospacing="0" w:after="0" w:afterAutospacing="0"/>
        <w:divId w:val="1736931967"/>
      </w:pPr>
      <w:r>
        <w:rPr>
          <w:rStyle w:val="normaltextrun"/>
          <w:sz w:val="22"/>
          <w:szCs w:val="22"/>
          <w:u w:val="single"/>
        </w:rPr>
        <w:t>Adjuvant (Matrix-M)</w:t>
      </w:r>
      <w:r>
        <w:rPr>
          <w:rStyle w:val="eop"/>
          <w:sz w:val="22"/>
          <w:szCs w:val="22"/>
          <w:u w:val="single"/>
        </w:rPr>
        <w:t> </w:t>
      </w:r>
    </w:p>
    <w:p w14:paraId="7D155DCB" w14:textId="77777777" w:rsidR="002B02D6" w:rsidRDefault="002B02D6">
      <w:pPr>
        <w:pStyle w:val="NormalWeb"/>
        <w:spacing w:before="0" w:beforeAutospacing="0" w:after="0" w:afterAutospacing="0"/>
        <w:divId w:val="1736931967"/>
      </w:pPr>
      <w:r>
        <w:rPr>
          <w:rStyle w:val="normaltextrun"/>
          <w:sz w:val="22"/>
          <w:szCs w:val="22"/>
        </w:rPr>
        <w:t>Cholesterol</w:t>
      </w:r>
    </w:p>
    <w:p w14:paraId="37BC2510" w14:textId="77777777" w:rsidR="002B02D6" w:rsidRDefault="002B02D6">
      <w:pPr>
        <w:pStyle w:val="NormalWeb"/>
        <w:spacing w:before="0" w:beforeAutospacing="0" w:after="0" w:afterAutospacing="0"/>
        <w:divId w:val="1736931967"/>
      </w:pPr>
      <w:r>
        <w:rPr>
          <w:rStyle w:val="normaltextrun"/>
          <w:sz w:val="22"/>
          <w:szCs w:val="22"/>
        </w:rPr>
        <w:t>Phosphatidylcholine (including all-rac-α-Tocopherol)</w:t>
      </w:r>
    </w:p>
    <w:p w14:paraId="47E6BB71" w14:textId="77777777" w:rsidR="002B02D6" w:rsidRDefault="002B02D6">
      <w:pPr>
        <w:pStyle w:val="NormalWeb"/>
        <w:spacing w:before="0" w:beforeAutospacing="0" w:after="0" w:afterAutospacing="0"/>
        <w:divId w:val="1736931967"/>
      </w:pPr>
      <w:r>
        <w:rPr>
          <w:rStyle w:val="normaltextrun"/>
          <w:sz w:val="22"/>
          <w:szCs w:val="22"/>
        </w:rPr>
        <w:t>Potassium dihydrogen phosphate</w:t>
      </w:r>
    </w:p>
    <w:p w14:paraId="79B1B5B7" w14:textId="77777777" w:rsidR="002B02D6" w:rsidRDefault="002B02D6">
      <w:pPr>
        <w:pStyle w:val="NormalWeb"/>
        <w:spacing w:before="0" w:beforeAutospacing="0" w:after="0" w:afterAutospacing="0"/>
        <w:divId w:val="1736931967"/>
      </w:pPr>
      <w:r>
        <w:rPr>
          <w:rStyle w:val="normaltextrun"/>
          <w:sz w:val="22"/>
          <w:szCs w:val="22"/>
        </w:rPr>
        <w:t>Potassium chloride</w:t>
      </w:r>
    </w:p>
    <w:p w14:paraId="31951B40" w14:textId="77777777" w:rsidR="002B02D6" w:rsidRDefault="002B02D6">
      <w:pPr>
        <w:pStyle w:val="NormalWeb"/>
        <w:spacing w:before="0" w:beforeAutospacing="0" w:after="0" w:afterAutospacing="0"/>
        <w:divId w:val="1736931967"/>
      </w:pPr>
      <w:r>
        <w:rPr>
          <w:rStyle w:val="normaltextrun"/>
          <w:sz w:val="22"/>
          <w:szCs w:val="22"/>
        </w:rPr>
        <w:t>Disodium hydrogen phosphate dihydrate</w:t>
      </w:r>
    </w:p>
    <w:p w14:paraId="40434423" w14:textId="77777777" w:rsidR="002B02D6" w:rsidRDefault="002B02D6">
      <w:pPr>
        <w:pStyle w:val="NormalWeb"/>
        <w:spacing w:before="0" w:beforeAutospacing="0" w:after="0" w:afterAutospacing="0"/>
        <w:divId w:val="1736931967"/>
      </w:pPr>
      <w:r>
        <w:rPr>
          <w:rStyle w:val="normaltextrun"/>
          <w:sz w:val="22"/>
          <w:szCs w:val="22"/>
        </w:rPr>
        <w:t>Sodium chloride</w:t>
      </w:r>
    </w:p>
    <w:p w14:paraId="6F99BD0B" w14:textId="77777777" w:rsidR="002B02D6" w:rsidRDefault="002B02D6">
      <w:pPr>
        <w:pStyle w:val="NormalWeb"/>
        <w:spacing w:before="0" w:beforeAutospacing="0" w:after="0" w:afterAutospacing="0"/>
        <w:divId w:val="1736931967"/>
      </w:pPr>
      <w:r>
        <w:rPr>
          <w:rStyle w:val="normaltextrun"/>
          <w:sz w:val="22"/>
          <w:szCs w:val="22"/>
        </w:rPr>
        <w:t>Water for injections</w:t>
      </w:r>
    </w:p>
    <w:p w14:paraId="77F63006" w14:textId="77777777" w:rsidR="002B02D6" w:rsidRDefault="002B02D6">
      <w:pPr>
        <w:pStyle w:val="NormalWeb"/>
        <w:spacing w:before="0" w:beforeAutospacing="0" w:after="0" w:afterAutospacing="0"/>
        <w:divId w:val="1736931967"/>
      </w:pPr>
      <w:r>
        <w:t> </w:t>
      </w:r>
    </w:p>
    <w:p w14:paraId="3A9D5F13" w14:textId="77777777" w:rsidR="002B02D6" w:rsidRDefault="002B02D6">
      <w:pPr>
        <w:pStyle w:val="NormalWeb"/>
        <w:spacing w:before="0" w:beforeAutospacing="0" w:after="0" w:afterAutospacing="0"/>
        <w:divId w:val="1736931967"/>
        <w:rPr>
          <w:sz w:val="22"/>
          <w:szCs w:val="22"/>
        </w:rPr>
      </w:pPr>
      <w:r>
        <w:rPr>
          <w:sz w:val="22"/>
          <w:szCs w:val="22"/>
        </w:rPr>
        <w:t>For adjuvant: see also section 2.</w:t>
      </w:r>
    </w:p>
    <w:p w14:paraId="42553059" w14:textId="77777777" w:rsidR="002B02D6" w:rsidRDefault="002B02D6">
      <w:pPr>
        <w:pStyle w:val="NormalWeb"/>
        <w:spacing w:before="0" w:beforeAutospacing="0" w:after="0" w:afterAutospacing="0"/>
        <w:divId w:val="1736931967"/>
        <w:rPr>
          <w:sz w:val="22"/>
          <w:szCs w:val="22"/>
        </w:rPr>
      </w:pPr>
      <w:r>
        <w:rPr>
          <w:sz w:val="22"/>
          <w:szCs w:val="22"/>
        </w:rPr>
        <w:t> </w:t>
      </w:r>
    </w:p>
    <w:p w14:paraId="592C9501" w14:textId="77777777" w:rsidR="002B02D6" w:rsidRDefault="002B02D6">
      <w:pPr>
        <w:pStyle w:val="NormalWeb"/>
      </w:pPr>
      <w:r>
        <w:t>6.2 Incompatibilities</w:t>
      </w:r>
    </w:p>
    <w:p w14:paraId="1E5D3CEE" w14:textId="77777777" w:rsidR="002B02D6" w:rsidRDefault="002B02D6">
      <w:pPr>
        <w:pStyle w:val="NormalWeb"/>
        <w:spacing w:before="0" w:beforeAutospacing="0" w:after="0" w:afterAutospacing="0" w:line="260" w:lineRule="atLeast"/>
        <w:divId w:val="103186083"/>
        <w:rPr>
          <w:sz w:val="22"/>
          <w:szCs w:val="22"/>
        </w:rPr>
      </w:pPr>
      <w:r>
        <w:rPr>
          <w:sz w:val="22"/>
          <w:szCs w:val="22"/>
        </w:rPr>
        <w:t> </w:t>
      </w:r>
    </w:p>
    <w:p w14:paraId="79F729B5" w14:textId="77777777" w:rsidR="002B02D6" w:rsidRDefault="002B02D6">
      <w:pPr>
        <w:pStyle w:val="NormalWeb"/>
        <w:spacing w:before="0" w:beforeAutospacing="0" w:after="0" w:afterAutospacing="0" w:line="260" w:lineRule="atLeast"/>
        <w:divId w:val="103186083"/>
        <w:rPr>
          <w:sz w:val="22"/>
          <w:szCs w:val="22"/>
        </w:rPr>
      </w:pPr>
      <w:r>
        <w:rPr>
          <w:sz w:val="22"/>
          <w:szCs w:val="22"/>
        </w:rPr>
        <w:t>This medicinal product must not be mixed with other medicinal products or diluted.</w:t>
      </w:r>
    </w:p>
    <w:p w14:paraId="1A080E40" w14:textId="77777777" w:rsidR="002B02D6" w:rsidRDefault="002B02D6">
      <w:pPr>
        <w:pStyle w:val="NormalWeb"/>
        <w:spacing w:before="0" w:beforeAutospacing="0" w:after="0" w:afterAutospacing="0" w:line="260" w:lineRule="atLeast"/>
        <w:divId w:val="103186083"/>
        <w:rPr>
          <w:sz w:val="22"/>
          <w:szCs w:val="22"/>
        </w:rPr>
      </w:pPr>
      <w:r>
        <w:rPr>
          <w:sz w:val="22"/>
          <w:szCs w:val="22"/>
        </w:rPr>
        <w:t> </w:t>
      </w:r>
    </w:p>
    <w:p w14:paraId="42176CB7" w14:textId="77777777" w:rsidR="002B02D6" w:rsidRDefault="002B02D6">
      <w:pPr>
        <w:pStyle w:val="NormalWeb"/>
      </w:pPr>
      <w:r>
        <w:t>6.3 Shelf life</w:t>
      </w:r>
    </w:p>
    <w:p w14:paraId="17B27C8E" w14:textId="77777777" w:rsidR="002B02D6" w:rsidRDefault="002B02D6">
      <w:pPr>
        <w:pStyle w:val="NormalWeb"/>
        <w:spacing w:before="0" w:beforeAutospacing="0" w:after="0" w:afterAutospacing="0"/>
        <w:divId w:val="1664432456"/>
        <w:rPr>
          <w:sz w:val="22"/>
          <w:szCs w:val="22"/>
        </w:rPr>
      </w:pPr>
      <w:r>
        <w:rPr>
          <w:sz w:val="22"/>
          <w:szCs w:val="22"/>
        </w:rPr>
        <w:t> </w:t>
      </w:r>
    </w:p>
    <w:p w14:paraId="3560FF6C" w14:textId="77777777" w:rsidR="002B02D6" w:rsidRDefault="002B02D6">
      <w:pPr>
        <w:pStyle w:val="NormalWeb"/>
        <w:spacing w:before="0" w:beforeAutospacing="0" w:after="0" w:afterAutospacing="0"/>
        <w:divId w:val="1664432456"/>
        <w:rPr>
          <w:sz w:val="22"/>
          <w:szCs w:val="22"/>
        </w:rPr>
      </w:pPr>
      <w:r>
        <w:rPr>
          <w:sz w:val="22"/>
          <w:szCs w:val="22"/>
          <w:u w:val="single"/>
        </w:rPr>
        <w:t>Unopened vial</w:t>
      </w:r>
    </w:p>
    <w:p w14:paraId="65338FAC" w14:textId="77777777" w:rsidR="002B02D6" w:rsidRDefault="002B02D6">
      <w:pPr>
        <w:pStyle w:val="NormalWeb"/>
        <w:spacing w:before="0" w:beforeAutospacing="0" w:after="0" w:afterAutospacing="0"/>
        <w:divId w:val="1664432456"/>
        <w:rPr>
          <w:sz w:val="22"/>
          <w:szCs w:val="22"/>
        </w:rPr>
      </w:pPr>
      <w:r>
        <w:rPr>
          <w:sz w:val="22"/>
          <w:szCs w:val="22"/>
        </w:rPr>
        <w:t> </w:t>
      </w:r>
    </w:p>
    <w:p w14:paraId="061BB798" w14:textId="77777777" w:rsidR="002B02D6" w:rsidRDefault="002B02D6">
      <w:pPr>
        <w:pStyle w:val="NormalWeb"/>
        <w:spacing w:before="0" w:beforeAutospacing="0" w:after="0" w:afterAutospacing="0"/>
        <w:divId w:val="1664432456"/>
        <w:rPr>
          <w:sz w:val="22"/>
          <w:szCs w:val="22"/>
        </w:rPr>
      </w:pPr>
      <w:r>
        <w:rPr>
          <w:sz w:val="22"/>
          <w:szCs w:val="22"/>
        </w:rPr>
        <w:t>12 months at 2°C to 8°C, protected from light.</w:t>
      </w:r>
    </w:p>
    <w:p w14:paraId="705EEA3A" w14:textId="77777777" w:rsidR="002B02D6" w:rsidRDefault="002B02D6">
      <w:pPr>
        <w:pStyle w:val="NormalWeb"/>
        <w:spacing w:before="0" w:beforeAutospacing="0" w:after="0" w:afterAutospacing="0"/>
        <w:divId w:val="1664432456"/>
        <w:rPr>
          <w:sz w:val="22"/>
          <w:szCs w:val="22"/>
        </w:rPr>
      </w:pPr>
      <w:r>
        <w:rPr>
          <w:sz w:val="22"/>
          <w:szCs w:val="22"/>
        </w:rPr>
        <w:t> </w:t>
      </w:r>
    </w:p>
    <w:p w14:paraId="044CB320" w14:textId="77777777" w:rsidR="002B02D6" w:rsidRDefault="002B02D6">
      <w:pPr>
        <w:pStyle w:val="NormalWeb"/>
        <w:spacing w:before="0" w:beforeAutospacing="0" w:after="0" w:afterAutospacing="0"/>
        <w:divId w:val="1664432456"/>
        <w:rPr>
          <w:sz w:val="22"/>
          <w:szCs w:val="22"/>
        </w:rPr>
      </w:pPr>
      <w:r>
        <w:rPr>
          <w:sz w:val="22"/>
          <w:szCs w:val="22"/>
        </w:rPr>
        <w:t>Unopened Nuvaxovid vaccine has been shown to be stable up to 12 hours at 25°C. Storage at 25°</w:t>
      </w:r>
      <w:r>
        <w:rPr>
          <w:sz w:val="22"/>
          <w:szCs w:val="22"/>
        </w:rPr>
        <w:t>C is not the recommended storage or shipping condition but may guide decisions for use in case of temporary temperature excursions during the 12-month storage at 2°C to 8°C.</w:t>
      </w:r>
    </w:p>
    <w:p w14:paraId="0D809670" w14:textId="77777777" w:rsidR="002B02D6" w:rsidRDefault="002B02D6">
      <w:pPr>
        <w:pStyle w:val="NormalWeb"/>
        <w:spacing w:before="0" w:beforeAutospacing="0" w:after="0" w:afterAutospacing="0"/>
        <w:divId w:val="1664432456"/>
        <w:rPr>
          <w:sz w:val="22"/>
          <w:szCs w:val="22"/>
        </w:rPr>
      </w:pPr>
      <w:r>
        <w:rPr>
          <w:sz w:val="22"/>
          <w:szCs w:val="22"/>
        </w:rPr>
        <w:t> </w:t>
      </w:r>
    </w:p>
    <w:p w14:paraId="191808ED" w14:textId="77777777" w:rsidR="002B02D6" w:rsidRDefault="002B02D6">
      <w:pPr>
        <w:pStyle w:val="NormalWeb"/>
        <w:spacing w:before="0" w:beforeAutospacing="0" w:after="0" w:afterAutospacing="0"/>
        <w:divId w:val="1664432456"/>
        <w:rPr>
          <w:sz w:val="22"/>
          <w:szCs w:val="22"/>
        </w:rPr>
      </w:pPr>
      <w:r>
        <w:rPr>
          <w:color w:val="000000"/>
          <w:sz w:val="22"/>
          <w:szCs w:val="22"/>
          <w:u w:val="single"/>
        </w:rPr>
        <w:t>Punctured vial</w:t>
      </w:r>
    </w:p>
    <w:p w14:paraId="4A1B3574" w14:textId="77777777" w:rsidR="002B02D6" w:rsidRDefault="002B02D6">
      <w:pPr>
        <w:pStyle w:val="NormalWeb"/>
        <w:spacing w:before="0" w:beforeAutospacing="0" w:after="0" w:afterAutospacing="0"/>
        <w:divId w:val="1664432456"/>
        <w:rPr>
          <w:sz w:val="22"/>
          <w:szCs w:val="22"/>
        </w:rPr>
      </w:pPr>
      <w:r>
        <w:rPr>
          <w:sz w:val="22"/>
          <w:szCs w:val="22"/>
        </w:rPr>
        <w:t> </w:t>
      </w:r>
    </w:p>
    <w:p w14:paraId="10DE7650" w14:textId="77777777" w:rsidR="002B02D6" w:rsidRDefault="002B02D6">
      <w:pPr>
        <w:pStyle w:val="NormalWeb"/>
        <w:spacing w:before="0" w:beforeAutospacing="0" w:after="0" w:afterAutospacing="0"/>
        <w:divId w:val="1664432456"/>
        <w:rPr>
          <w:sz w:val="22"/>
          <w:szCs w:val="22"/>
        </w:rPr>
      </w:pPr>
      <w:r>
        <w:rPr>
          <w:color w:val="000000"/>
          <w:sz w:val="22"/>
          <w:szCs w:val="22"/>
        </w:rPr>
        <w:t>Chemical and physical in-</w:t>
      </w:r>
      <w:r>
        <w:rPr>
          <w:sz w:val="22"/>
          <w:szCs w:val="22"/>
        </w:rPr>
        <w:t xml:space="preserve">use stability has been demonstrated for 12 hours at 2°C to 8°C </w:t>
      </w:r>
      <w:r>
        <w:rPr>
          <w:color w:val="000000"/>
          <w:sz w:val="22"/>
          <w:szCs w:val="22"/>
        </w:rPr>
        <w:t>or 6 hours at room temperature (maximum 25°C)</w:t>
      </w:r>
      <w:r>
        <w:rPr>
          <w:sz w:val="22"/>
          <w:szCs w:val="22"/>
        </w:rPr>
        <w:t xml:space="preserve"> from the time of first needle puncture to administration.</w:t>
      </w:r>
    </w:p>
    <w:p w14:paraId="416DA65E" w14:textId="77777777" w:rsidR="002B02D6" w:rsidRDefault="002B02D6">
      <w:pPr>
        <w:pStyle w:val="NormalWeb"/>
        <w:spacing w:before="0" w:beforeAutospacing="0" w:after="0" w:afterAutospacing="0"/>
        <w:divId w:val="1664432456"/>
        <w:rPr>
          <w:sz w:val="22"/>
          <w:szCs w:val="22"/>
        </w:rPr>
      </w:pPr>
      <w:r>
        <w:rPr>
          <w:sz w:val="22"/>
          <w:szCs w:val="22"/>
        </w:rPr>
        <w:t> </w:t>
      </w:r>
    </w:p>
    <w:p w14:paraId="26942CAE" w14:textId="77777777" w:rsidR="002B02D6" w:rsidRDefault="002B02D6">
      <w:pPr>
        <w:pStyle w:val="NormalWeb"/>
        <w:spacing w:before="0" w:beforeAutospacing="0" w:after="0" w:afterAutospacing="0"/>
        <w:divId w:val="1664432456"/>
        <w:rPr>
          <w:sz w:val="22"/>
          <w:szCs w:val="22"/>
        </w:rPr>
      </w:pPr>
      <w:r>
        <w:rPr>
          <w:sz w:val="22"/>
          <w:szCs w:val="22"/>
        </w:rPr>
        <w:t>From a microbiological point of view, after first opening (first needle puncture), the vaccine should be used immediately. If not used immediately, in-use storage times and conditions are the responsibility of the user and should not exceed</w:t>
      </w:r>
      <w:r>
        <w:rPr>
          <w:rStyle w:val="Emphasis"/>
          <w:sz w:val="22"/>
          <w:szCs w:val="22"/>
        </w:rPr>
        <w:t> </w:t>
      </w:r>
      <w:r>
        <w:rPr>
          <w:sz w:val="22"/>
          <w:szCs w:val="22"/>
        </w:rPr>
        <w:t>12 hours at 2°C to 8°C or 6 hours at room temperature (maximum 25°C).</w:t>
      </w:r>
    </w:p>
    <w:p w14:paraId="1D82E275" w14:textId="77777777" w:rsidR="002B02D6" w:rsidRDefault="002B02D6">
      <w:pPr>
        <w:pStyle w:val="NormalWeb"/>
        <w:spacing w:before="0" w:beforeAutospacing="0" w:after="0" w:afterAutospacing="0" w:line="260" w:lineRule="atLeast"/>
        <w:divId w:val="1664432456"/>
        <w:rPr>
          <w:sz w:val="22"/>
          <w:szCs w:val="22"/>
        </w:rPr>
      </w:pPr>
      <w:r>
        <w:rPr>
          <w:sz w:val="22"/>
          <w:szCs w:val="22"/>
        </w:rPr>
        <w:t> </w:t>
      </w:r>
    </w:p>
    <w:p w14:paraId="413674C7" w14:textId="77777777" w:rsidR="002B02D6" w:rsidRDefault="002B02D6">
      <w:pPr>
        <w:pStyle w:val="NormalWeb"/>
      </w:pPr>
      <w:r>
        <w:t>6.4 Special precautions for storage</w:t>
      </w:r>
    </w:p>
    <w:p w14:paraId="612ABAB3" w14:textId="77777777" w:rsidR="002B02D6" w:rsidRDefault="002B02D6">
      <w:pPr>
        <w:pStyle w:val="NormalWeb"/>
        <w:spacing w:before="0" w:beforeAutospacing="0" w:after="0" w:afterAutospacing="0" w:line="260" w:lineRule="atLeast"/>
        <w:divId w:val="599604456"/>
        <w:rPr>
          <w:sz w:val="22"/>
          <w:szCs w:val="22"/>
        </w:rPr>
      </w:pPr>
      <w:r>
        <w:rPr>
          <w:sz w:val="22"/>
          <w:szCs w:val="22"/>
        </w:rPr>
        <w:t> </w:t>
      </w:r>
    </w:p>
    <w:p w14:paraId="3F495F03" w14:textId="77777777" w:rsidR="002B02D6" w:rsidRDefault="002B02D6">
      <w:pPr>
        <w:pStyle w:val="NormalWeb"/>
        <w:spacing w:before="0" w:beforeAutospacing="0" w:after="0" w:afterAutospacing="0" w:line="260" w:lineRule="atLeast"/>
        <w:divId w:val="599604456"/>
        <w:rPr>
          <w:sz w:val="22"/>
          <w:szCs w:val="22"/>
        </w:rPr>
      </w:pPr>
      <w:r>
        <w:rPr>
          <w:sz w:val="22"/>
          <w:szCs w:val="22"/>
        </w:rPr>
        <w:t>Store in a refrigerator (2°C – 8°C).</w:t>
      </w:r>
    </w:p>
    <w:p w14:paraId="7CCEC4D6" w14:textId="77777777" w:rsidR="002B02D6" w:rsidRDefault="002B02D6">
      <w:pPr>
        <w:pStyle w:val="NormalWeb"/>
        <w:spacing w:before="0" w:beforeAutospacing="0" w:after="0" w:afterAutospacing="0" w:line="260" w:lineRule="atLeast"/>
        <w:divId w:val="599604456"/>
        <w:rPr>
          <w:sz w:val="22"/>
          <w:szCs w:val="22"/>
        </w:rPr>
      </w:pPr>
      <w:r>
        <w:rPr>
          <w:sz w:val="22"/>
          <w:szCs w:val="22"/>
        </w:rPr>
        <w:t>Do not freeze.</w:t>
      </w:r>
    </w:p>
    <w:p w14:paraId="23624246" w14:textId="77777777" w:rsidR="002B02D6" w:rsidRDefault="002B02D6">
      <w:pPr>
        <w:pStyle w:val="NormalWeb"/>
        <w:spacing w:before="0" w:beforeAutospacing="0" w:after="0" w:afterAutospacing="0" w:line="260" w:lineRule="atLeast"/>
        <w:divId w:val="599604456"/>
        <w:rPr>
          <w:sz w:val="22"/>
          <w:szCs w:val="22"/>
        </w:rPr>
      </w:pPr>
      <w:r>
        <w:rPr>
          <w:rStyle w:val="Emphasis"/>
          <w:sz w:val="22"/>
          <w:szCs w:val="22"/>
        </w:rPr>
        <w:t> </w:t>
      </w:r>
    </w:p>
    <w:p w14:paraId="0B954CED" w14:textId="77777777" w:rsidR="002B02D6" w:rsidRDefault="002B02D6">
      <w:pPr>
        <w:pStyle w:val="NormalWeb"/>
        <w:spacing w:before="0" w:beforeAutospacing="0" w:after="0" w:afterAutospacing="0" w:line="260" w:lineRule="atLeast"/>
        <w:divId w:val="599604456"/>
        <w:rPr>
          <w:sz w:val="22"/>
          <w:szCs w:val="22"/>
        </w:rPr>
      </w:pPr>
      <w:r>
        <w:rPr>
          <w:sz w:val="22"/>
          <w:szCs w:val="22"/>
        </w:rPr>
        <w:t>Keep the vials in the outer carton in order to protect from light.</w:t>
      </w:r>
    </w:p>
    <w:p w14:paraId="79B4DD3C" w14:textId="77777777" w:rsidR="002B02D6" w:rsidRDefault="002B02D6">
      <w:pPr>
        <w:pStyle w:val="NormalWeb"/>
        <w:spacing w:before="0" w:beforeAutospacing="0" w:after="0" w:afterAutospacing="0" w:line="260" w:lineRule="atLeast"/>
        <w:divId w:val="599604456"/>
        <w:rPr>
          <w:sz w:val="22"/>
          <w:szCs w:val="22"/>
        </w:rPr>
      </w:pPr>
      <w:r>
        <w:rPr>
          <w:sz w:val="22"/>
          <w:szCs w:val="22"/>
        </w:rPr>
        <w:t> </w:t>
      </w:r>
    </w:p>
    <w:p w14:paraId="2A984F65" w14:textId="77777777" w:rsidR="002B02D6" w:rsidRDefault="002B02D6">
      <w:pPr>
        <w:pStyle w:val="NormalWeb"/>
        <w:spacing w:before="0" w:beforeAutospacing="0" w:after="0" w:afterAutospacing="0" w:line="260" w:lineRule="atLeast"/>
        <w:divId w:val="599604456"/>
        <w:rPr>
          <w:sz w:val="22"/>
          <w:szCs w:val="22"/>
        </w:rPr>
      </w:pPr>
      <w:r>
        <w:rPr>
          <w:sz w:val="22"/>
          <w:szCs w:val="22"/>
        </w:rPr>
        <w:t>For storage conditions after first opening of the medicinal product, see section 6.3.</w:t>
      </w:r>
    </w:p>
    <w:p w14:paraId="302A8E43" w14:textId="77777777" w:rsidR="002B02D6" w:rsidRDefault="002B02D6">
      <w:pPr>
        <w:pStyle w:val="NormalWeb"/>
        <w:spacing w:before="0" w:beforeAutospacing="0" w:after="0" w:afterAutospacing="0" w:line="260" w:lineRule="atLeast"/>
        <w:divId w:val="599604456"/>
        <w:rPr>
          <w:sz w:val="22"/>
          <w:szCs w:val="22"/>
        </w:rPr>
      </w:pPr>
      <w:r>
        <w:rPr>
          <w:sz w:val="22"/>
          <w:szCs w:val="22"/>
        </w:rPr>
        <w:t> </w:t>
      </w:r>
    </w:p>
    <w:p w14:paraId="6BA07F7F" w14:textId="77777777" w:rsidR="002B02D6" w:rsidRDefault="002B02D6">
      <w:pPr>
        <w:pStyle w:val="NormalWeb"/>
      </w:pPr>
      <w:r>
        <w:t>6.5 Nature and contents of container</w:t>
      </w:r>
    </w:p>
    <w:p w14:paraId="07481F34" w14:textId="77777777" w:rsidR="002B02D6" w:rsidRDefault="002B02D6">
      <w:pPr>
        <w:pStyle w:val="NormalWeb"/>
        <w:spacing w:before="0" w:beforeAutospacing="0" w:after="0" w:afterAutospacing="0" w:line="260" w:lineRule="atLeast"/>
        <w:divId w:val="708144857"/>
        <w:rPr>
          <w:sz w:val="22"/>
          <w:szCs w:val="22"/>
        </w:rPr>
      </w:pPr>
      <w:r>
        <w:rPr>
          <w:sz w:val="22"/>
          <w:szCs w:val="22"/>
        </w:rPr>
        <w:t> </w:t>
      </w:r>
    </w:p>
    <w:p w14:paraId="74E1CF4D" w14:textId="77777777" w:rsidR="002B02D6" w:rsidRDefault="002B02D6">
      <w:pPr>
        <w:pStyle w:val="NormalWeb"/>
        <w:spacing w:before="0" w:beforeAutospacing="0" w:after="0" w:afterAutospacing="0" w:line="260" w:lineRule="atLeast"/>
        <w:divId w:val="708144857"/>
        <w:rPr>
          <w:sz w:val="22"/>
          <w:szCs w:val="22"/>
        </w:rPr>
      </w:pPr>
      <w:r>
        <w:rPr>
          <w:sz w:val="22"/>
          <w:szCs w:val="22"/>
          <w:u w:val="single"/>
        </w:rPr>
        <w:t>Multidose vial</w:t>
      </w:r>
    </w:p>
    <w:p w14:paraId="15DAACC5" w14:textId="77777777" w:rsidR="002B02D6" w:rsidRDefault="002B02D6">
      <w:pPr>
        <w:pStyle w:val="NormalWeb"/>
        <w:spacing w:before="0" w:beforeAutospacing="0" w:after="0" w:afterAutospacing="0" w:line="260" w:lineRule="atLeast"/>
        <w:divId w:val="708144857"/>
        <w:rPr>
          <w:sz w:val="22"/>
          <w:szCs w:val="22"/>
        </w:rPr>
      </w:pPr>
      <w:r>
        <w:rPr>
          <w:sz w:val="22"/>
          <w:szCs w:val="22"/>
        </w:rPr>
        <w:t> </w:t>
      </w:r>
    </w:p>
    <w:p w14:paraId="0122B559" w14:textId="77777777" w:rsidR="002B02D6" w:rsidRDefault="002B02D6">
      <w:pPr>
        <w:pStyle w:val="NormalWeb"/>
        <w:spacing w:before="0" w:beforeAutospacing="0" w:after="0" w:afterAutospacing="0" w:line="260" w:lineRule="atLeast"/>
        <w:divId w:val="708144857"/>
        <w:rPr>
          <w:sz w:val="22"/>
          <w:szCs w:val="22"/>
        </w:rPr>
      </w:pPr>
      <w:r>
        <w:rPr>
          <w:rStyle w:val="Emphasis"/>
          <w:sz w:val="22"/>
          <w:szCs w:val="22"/>
        </w:rPr>
        <w:t>5-dose vial</w:t>
      </w:r>
    </w:p>
    <w:p w14:paraId="2B93B827" w14:textId="77777777" w:rsidR="002B02D6" w:rsidRDefault="002B02D6">
      <w:pPr>
        <w:pStyle w:val="NormalWeb"/>
        <w:spacing w:before="0" w:beforeAutospacing="0" w:after="0" w:afterAutospacing="0" w:line="260" w:lineRule="atLeast"/>
        <w:divId w:val="708144857"/>
        <w:rPr>
          <w:sz w:val="22"/>
          <w:szCs w:val="22"/>
        </w:rPr>
      </w:pPr>
      <w:r>
        <w:rPr>
          <w:sz w:val="22"/>
          <w:szCs w:val="22"/>
        </w:rPr>
        <w:t>2.5 mL of dispersion in a vial (type I glass) with a stopper (bromobutyl rubber) and an aluminium overseal with blue plastic flip-off cap.</w:t>
      </w:r>
    </w:p>
    <w:p w14:paraId="5D0C7913" w14:textId="77777777" w:rsidR="002B02D6" w:rsidRDefault="002B02D6">
      <w:pPr>
        <w:pStyle w:val="NormalWeb"/>
        <w:spacing w:before="0" w:beforeAutospacing="0" w:after="0" w:afterAutospacing="0"/>
        <w:divId w:val="708144857"/>
        <w:rPr>
          <w:sz w:val="22"/>
          <w:szCs w:val="22"/>
        </w:rPr>
      </w:pPr>
      <w:r>
        <w:rPr>
          <w:sz w:val="22"/>
          <w:szCs w:val="22"/>
        </w:rPr>
        <w:t> </w:t>
      </w:r>
    </w:p>
    <w:p w14:paraId="428DA921" w14:textId="77777777" w:rsidR="002B02D6" w:rsidRDefault="002B02D6">
      <w:pPr>
        <w:pStyle w:val="NormalWeb"/>
        <w:spacing w:before="0" w:beforeAutospacing="0" w:after="0" w:afterAutospacing="0"/>
        <w:divId w:val="708144857"/>
        <w:rPr>
          <w:sz w:val="22"/>
          <w:szCs w:val="22"/>
        </w:rPr>
      </w:pPr>
      <w:r>
        <w:rPr>
          <w:sz w:val="22"/>
          <w:szCs w:val="22"/>
        </w:rPr>
        <w:t>Each vial contains 5 doses of 0.5 mL.</w:t>
      </w:r>
    </w:p>
    <w:p w14:paraId="4F9E2357" w14:textId="77777777" w:rsidR="002B02D6" w:rsidRDefault="002B02D6">
      <w:pPr>
        <w:pStyle w:val="NormalWeb"/>
        <w:spacing w:before="0" w:beforeAutospacing="0" w:after="0" w:afterAutospacing="0"/>
        <w:divId w:val="708144857"/>
        <w:rPr>
          <w:sz w:val="22"/>
          <w:szCs w:val="22"/>
        </w:rPr>
      </w:pPr>
      <w:r>
        <w:rPr>
          <w:sz w:val="22"/>
          <w:szCs w:val="22"/>
        </w:rPr>
        <w:t> </w:t>
      </w:r>
    </w:p>
    <w:p w14:paraId="00BE9DF8" w14:textId="77777777" w:rsidR="002B02D6" w:rsidRDefault="002B02D6">
      <w:pPr>
        <w:pStyle w:val="NormalWeb"/>
        <w:spacing w:before="0" w:beforeAutospacing="0" w:after="0" w:afterAutospacing="0"/>
        <w:divId w:val="708144857"/>
        <w:rPr>
          <w:sz w:val="22"/>
          <w:szCs w:val="22"/>
        </w:rPr>
      </w:pPr>
      <w:r>
        <w:rPr>
          <w:sz w:val="22"/>
          <w:szCs w:val="22"/>
        </w:rPr>
        <w:t>Pack size: 2 multidose vials or 10 multidose vials</w:t>
      </w:r>
    </w:p>
    <w:p w14:paraId="2BBEF302" w14:textId="77777777" w:rsidR="002B02D6" w:rsidRDefault="002B02D6">
      <w:pPr>
        <w:pStyle w:val="NormalWeb"/>
        <w:spacing w:before="0" w:beforeAutospacing="0" w:after="0" w:afterAutospacing="0"/>
        <w:divId w:val="708144857"/>
        <w:rPr>
          <w:sz w:val="22"/>
          <w:szCs w:val="22"/>
        </w:rPr>
      </w:pPr>
      <w:r>
        <w:rPr>
          <w:sz w:val="22"/>
          <w:szCs w:val="22"/>
        </w:rPr>
        <w:t> </w:t>
      </w:r>
    </w:p>
    <w:p w14:paraId="577D6B3E" w14:textId="77777777" w:rsidR="002B02D6" w:rsidRDefault="002B02D6">
      <w:pPr>
        <w:pStyle w:val="NormalWeb"/>
        <w:spacing w:before="0" w:beforeAutospacing="0" w:after="0" w:afterAutospacing="0"/>
        <w:divId w:val="708144857"/>
        <w:rPr>
          <w:sz w:val="22"/>
          <w:szCs w:val="22"/>
        </w:rPr>
      </w:pPr>
      <w:r>
        <w:rPr>
          <w:rStyle w:val="Emphasis"/>
          <w:sz w:val="22"/>
          <w:szCs w:val="22"/>
        </w:rPr>
        <w:t>10-dose vial</w:t>
      </w:r>
    </w:p>
    <w:p w14:paraId="018814DD" w14:textId="77777777" w:rsidR="002B02D6" w:rsidRDefault="002B02D6">
      <w:pPr>
        <w:pStyle w:val="NormalWeb"/>
        <w:spacing w:before="0" w:beforeAutospacing="0" w:after="0" w:afterAutospacing="0" w:line="260" w:lineRule="atLeast"/>
        <w:divId w:val="708144857"/>
        <w:rPr>
          <w:sz w:val="22"/>
          <w:szCs w:val="22"/>
        </w:rPr>
      </w:pPr>
      <w:r>
        <w:rPr>
          <w:sz w:val="22"/>
          <w:szCs w:val="22"/>
        </w:rPr>
        <w:t>5 mL of dispersion in a vial (type </w:t>
      </w:r>
      <w:r>
        <w:rPr>
          <w:sz w:val="22"/>
          <w:szCs w:val="22"/>
        </w:rPr>
        <w:t>I glass) with a stopper (bromobutyl rubber) and an aluminium overseal with blue plastic flip-off cap.</w:t>
      </w:r>
    </w:p>
    <w:p w14:paraId="5C950A4C" w14:textId="77777777" w:rsidR="002B02D6" w:rsidRDefault="002B02D6">
      <w:pPr>
        <w:pStyle w:val="NormalWeb"/>
        <w:spacing w:before="0" w:beforeAutospacing="0" w:after="0" w:afterAutospacing="0"/>
        <w:divId w:val="708144857"/>
        <w:rPr>
          <w:sz w:val="22"/>
          <w:szCs w:val="22"/>
        </w:rPr>
      </w:pPr>
      <w:r>
        <w:rPr>
          <w:sz w:val="22"/>
          <w:szCs w:val="22"/>
        </w:rPr>
        <w:t> </w:t>
      </w:r>
    </w:p>
    <w:p w14:paraId="5CB8DF4C" w14:textId="77777777" w:rsidR="002B02D6" w:rsidRDefault="002B02D6">
      <w:pPr>
        <w:pStyle w:val="NormalWeb"/>
        <w:spacing w:before="0" w:beforeAutospacing="0" w:after="0" w:afterAutospacing="0"/>
        <w:divId w:val="708144857"/>
        <w:rPr>
          <w:sz w:val="22"/>
          <w:szCs w:val="22"/>
        </w:rPr>
      </w:pPr>
      <w:r>
        <w:rPr>
          <w:sz w:val="22"/>
          <w:szCs w:val="22"/>
        </w:rPr>
        <w:t>Each vial contains 10 doses of 0.5 mL.</w:t>
      </w:r>
    </w:p>
    <w:p w14:paraId="3B5B5C2C" w14:textId="77777777" w:rsidR="002B02D6" w:rsidRDefault="002B02D6">
      <w:pPr>
        <w:pStyle w:val="NormalWeb"/>
        <w:spacing w:before="0" w:beforeAutospacing="0" w:after="0" w:afterAutospacing="0"/>
        <w:divId w:val="708144857"/>
        <w:rPr>
          <w:sz w:val="22"/>
          <w:szCs w:val="22"/>
        </w:rPr>
      </w:pPr>
      <w:r>
        <w:rPr>
          <w:rStyle w:val="Emphasis"/>
          <w:sz w:val="22"/>
          <w:szCs w:val="22"/>
        </w:rPr>
        <w:t> </w:t>
      </w:r>
    </w:p>
    <w:p w14:paraId="3AEBDD99" w14:textId="77777777" w:rsidR="002B02D6" w:rsidRDefault="002B02D6">
      <w:pPr>
        <w:pStyle w:val="NormalWeb"/>
        <w:spacing w:before="0" w:beforeAutospacing="0" w:after="0" w:afterAutospacing="0"/>
        <w:divId w:val="708144857"/>
        <w:rPr>
          <w:sz w:val="22"/>
          <w:szCs w:val="22"/>
        </w:rPr>
      </w:pPr>
      <w:r>
        <w:rPr>
          <w:sz w:val="22"/>
          <w:szCs w:val="22"/>
        </w:rPr>
        <w:t>Pack size: 2 multidose vials or 10 multidose vials</w:t>
      </w:r>
    </w:p>
    <w:p w14:paraId="05A119B7" w14:textId="77777777" w:rsidR="002B02D6" w:rsidRDefault="002B02D6">
      <w:pPr>
        <w:pStyle w:val="NormalWeb"/>
        <w:spacing w:before="0" w:beforeAutospacing="0" w:after="0" w:afterAutospacing="0"/>
        <w:divId w:val="708144857"/>
        <w:rPr>
          <w:sz w:val="22"/>
          <w:szCs w:val="22"/>
        </w:rPr>
      </w:pPr>
      <w:r>
        <w:rPr>
          <w:sz w:val="22"/>
          <w:szCs w:val="22"/>
        </w:rPr>
        <w:t> </w:t>
      </w:r>
    </w:p>
    <w:p w14:paraId="106440DF" w14:textId="77777777" w:rsidR="002B02D6" w:rsidRDefault="002B02D6">
      <w:pPr>
        <w:pStyle w:val="NormalWeb"/>
        <w:spacing w:before="0" w:beforeAutospacing="0" w:after="0" w:afterAutospacing="0"/>
        <w:divId w:val="708144857"/>
        <w:rPr>
          <w:sz w:val="22"/>
          <w:szCs w:val="22"/>
        </w:rPr>
      </w:pPr>
      <w:r>
        <w:rPr>
          <w:sz w:val="22"/>
          <w:szCs w:val="22"/>
        </w:rPr>
        <w:t>Not all pack sizes may be marketed.</w:t>
      </w:r>
    </w:p>
    <w:p w14:paraId="7119781C" w14:textId="77777777" w:rsidR="002B02D6" w:rsidRDefault="002B02D6">
      <w:pPr>
        <w:pStyle w:val="NormalWeb"/>
        <w:spacing w:before="0" w:beforeAutospacing="0" w:after="0" w:afterAutospacing="0"/>
        <w:divId w:val="708144857"/>
        <w:rPr>
          <w:sz w:val="22"/>
          <w:szCs w:val="22"/>
        </w:rPr>
      </w:pPr>
      <w:r>
        <w:rPr>
          <w:sz w:val="22"/>
          <w:szCs w:val="22"/>
        </w:rPr>
        <w:t> </w:t>
      </w:r>
    </w:p>
    <w:p w14:paraId="7921C6D9" w14:textId="77777777" w:rsidR="002B02D6" w:rsidRDefault="002B02D6">
      <w:pPr>
        <w:pStyle w:val="NormalWeb"/>
        <w:spacing w:before="0" w:beforeAutospacing="0" w:after="0" w:afterAutospacing="0"/>
        <w:divId w:val="708144857"/>
        <w:rPr>
          <w:sz w:val="22"/>
          <w:szCs w:val="22"/>
        </w:rPr>
      </w:pPr>
      <w:r>
        <w:rPr>
          <w:sz w:val="22"/>
          <w:szCs w:val="22"/>
        </w:rPr>
        <w:t> </w:t>
      </w:r>
    </w:p>
    <w:p w14:paraId="1FD67CA1" w14:textId="77777777" w:rsidR="002B02D6" w:rsidRDefault="002B02D6">
      <w:pPr>
        <w:pStyle w:val="NormalWeb"/>
      </w:pPr>
      <w:r>
        <w:t>6.6 Special precautions for disposal and other handling</w:t>
      </w:r>
    </w:p>
    <w:p w14:paraId="0277E177" w14:textId="77777777" w:rsidR="002B02D6" w:rsidRDefault="002B02D6">
      <w:pPr>
        <w:pStyle w:val="NormalWeb"/>
        <w:spacing w:before="0" w:beforeAutospacing="0" w:after="0" w:afterAutospacing="0"/>
        <w:divId w:val="646130844"/>
        <w:rPr>
          <w:sz w:val="22"/>
          <w:szCs w:val="22"/>
        </w:rPr>
      </w:pPr>
      <w:r>
        <w:rPr>
          <w:rStyle w:val="Emphasis"/>
          <w:sz w:val="22"/>
          <w:szCs w:val="22"/>
        </w:rPr>
        <w:t> </w:t>
      </w:r>
    </w:p>
    <w:p w14:paraId="4C1155D1" w14:textId="77777777" w:rsidR="002B02D6" w:rsidRDefault="002B02D6">
      <w:pPr>
        <w:pStyle w:val="NormalWeb"/>
        <w:spacing w:before="0" w:beforeAutospacing="0" w:after="0" w:afterAutospacing="0"/>
        <w:divId w:val="646130844"/>
        <w:rPr>
          <w:sz w:val="22"/>
          <w:szCs w:val="22"/>
        </w:rPr>
      </w:pPr>
      <w:r>
        <w:rPr>
          <w:sz w:val="22"/>
          <w:szCs w:val="22"/>
          <w:u w:val="single"/>
        </w:rPr>
        <w:t>Handling instructions and administration</w:t>
      </w:r>
    </w:p>
    <w:p w14:paraId="5016069F" w14:textId="77777777" w:rsidR="002B02D6" w:rsidRDefault="002B02D6">
      <w:pPr>
        <w:pStyle w:val="NormalWeb"/>
        <w:spacing w:before="0" w:beforeAutospacing="0" w:after="0" w:afterAutospacing="0"/>
        <w:divId w:val="646130844"/>
        <w:rPr>
          <w:sz w:val="22"/>
          <w:szCs w:val="22"/>
        </w:rPr>
      </w:pPr>
      <w:r>
        <w:rPr>
          <w:sz w:val="22"/>
          <w:szCs w:val="22"/>
        </w:rPr>
        <w:t> </w:t>
      </w:r>
    </w:p>
    <w:p w14:paraId="7808EE7B" w14:textId="77777777" w:rsidR="002B02D6" w:rsidRDefault="002B02D6">
      <w:pPr>
        <w:pStyle w:val="NormalWeb"/>
        <w:spacing w:before="0" w:beforeAutospacing="0" w:after="0" w:afterAutospacing="0"/>
        <w:divId w:val="646130844"/>
        <w:rPr>
          <w:sz w:val="22"/>
          <w:szCs w:val="22"/>
        </w:rPr>
      </w:pPr>
      <w:r>
        <w:rPr>
          <w:sz w:val="22"/>
          <w:szCs w:val="22"/>
        </w:rPr>
        <w:t>This vaccine should be handled by a healthcare professional using aseptic techniques to ensure the sterility of each dose.</w:t>
      </w:r>
    </w:p>
    <w:p w14:paraId="09B1D408" w14:textId="77777777" w:rsidR="002B02D6" w:rsidRDefault="002B02D6">
      <w:pPr>
        <w:pStyle w:val="NormalWeb"/>
        <w:spacing w:before="0" w:beforeAutospacing="0" w:after="0" w:afterAutospacing="0"/>
        <w:divId w:val="646130844"/>
        <w:rPr>
          <w:sz w:val="22"/>
          <w:szCs w:val="22"/>
        </w:rPr>
      </w:pPr>
      <w:r>
        <w:rPr>
          <w:sz w:val="22"/>
          <w:szCs w:val="22"/>
        </w:rPr>
        <w:t> </w:t>
      </w:r>
    </w:p>
    <w:p w14:paraId="061FE73D" w14:textId="77777777" w:rsidR="002B02D6" w:rsidRDefault="002B02D6">
      <w:pPr>
        <w:pStyle w:val="NormalWeb"/>
        <w:spacing w:before="0" w:beforeAutospacing="0" w:after="0" w:afterAutospacing="0"/>
        <w:divId w:val="646130844"/>
        <w:rPr>
          <w:sz w:val="22"/>
          <w:szCs w:val="22"/>
        </w:rPr>
      </w:pPr>
      <w:r>
        <w:rPr>
          <w:rStyle w:val="Emphasis"/>
          <w:sz w:val="22"/>
          <w:szCs w:val="22"/>
        </w:rPr>
        <w:t>Preparation for use</w:t>
      </w:r>
    </w:p>
    <w:p w14:paraId="10F6C8B5" w14:textId="77777777" w:rsidR="002B02D6" w:rsidRDefault="002B02D6">
      <w:pPr>
        <w:numPr>
          <w:ilvl w:val="0"/>
          <w:numId w:val="1"/>
        </w:numPr>
        <w:ind w:left="726" w:firstLine="6"/>
        <w:divId w:val="646130844"/>
        <w:rPr>
          <w:rFonts w:eastAsia="Times New Roman"/>
          <w:sz w:val="22"/>
          <w:szCs w:val="22"/>
        </w:rPr>
      </w:pPr>
      <w:r>
        <w:rPr>
          <w:rFonts w:eastAsia="Times New Roman"/>
          <w:sz w:val="22"/>
          <w:szCs w:val="22"/>
        </w:rPr>
        <w:t>The vaccine comes ready to use.</w:t>
      </w:r>
    </w:p>
    <w:p w14:paraId="667E8E69" w14:textId="77777777" w:rsidR="002B02D6" w:rsidRDefault="002B02D6">
      <w:pPr>
        <w:pStyle w:val="NormalWeb"/>
        <w:spacing w:before="0" w:beforeAutospacing="0" w:after="0" w:afterAutospacing="0" w:line="260" w:lineRule="atLeast"/>
        <w:ind w:left="720"/>
        <w:divId w:val="646130844"/>
        <w:rPr>
          <w:sz w:val="22"/>
          <w:szCs w:val="22"/>
        </w:rPr>
      </w:pPr>
      <w:r>
        <w:rPr>
          <w:sz w:val="22"/>
          <w:szCs w:val="22"/>
        </w:rPr>
        <w:t> </w:t>
      </w:r>
    </w:p>
    <w:p w14:paraId="202A3700" w14:textId="77777777" w:rsidR="002B02D6" w:rsidRDefault="002B02D6">
      <w:pPr>
        <w:numPr>
          <w:ilvl w:val="0"/>
          <w:numId w:val="2"/>
        </w:numPr>
        <w:ind w:left="726" w:firstLine="6"/>
        <w:divId w:val="646130844"/>
        <w:rPr>
          <w:rFonts w:eastAsia="Times New Roman"/>
          <w:sz w:val="22"/>
          <w:szCs w:val="22"/>
        </w:rPr>
      </w:pPr>
      <w:r>
        <w:rPr>
          <w:rFonts w:eastAsia="Times New Roman"/>
          <w:sz w:val="22"/>
          <w:szCs w:val="22"/>
        </w:rPr>
        <w:t>Unopened vaccine should be stored at 2°C to 8°C and kept within the outer carton to protect from light.</w:t>
      </w:r>
    </w:p>
    <w:p w14:paraId="0E8CC136" w14:textId="77777777" w:rsidR="002B02D6" w:rsidRDefault="002B02D6">
      <w:pPr>
        <w:pStyle w:val="NormalWeb"/>
        <w:spacing w:before="0" w:beforeAutospacing="0" w:after="0" w:afterAutospacing="0" w:line="260" w:lineRule="atLeast"/>
        <w:ind w:left="720"/>
        <w:divId w:val="646130844"/>
        <w:rPr>
          <w:sz w:val="22"/>
          <w:szCs w:val="22"/>
        </w:rPr>
      </w:pPr>
      <w:r>
        <w:rPr>
          <w:sz w:val="22"/>
          <w:szCs w:val="22"/>
        </w:rPr>
        <w:t> </w:t>
      </w:r>
    </w:p>
    <w:p w14:paraId="48DCEFA9" w14:textId="77777777" w:rsidR="002B02D6" w:rsidRDefault="002B02D6">
      <w:pPr>
        <w:numPr>
          <w:ilvl w:val="0"/>
          <w:numId w:val="3"/>
        </w:numPr>
        <w:ind w:left="726" w:firstLine="6"/>
        <w:divId w:val="646130844"/>
        <w:rPr>
          <w:rFonts w:eastAsia="Times New Roman"/>
          <w:sz w:val="22"/>
          <w:szCs w:val="22"/>
        </w:rPr>
      </w:pPr>
      <w:r>
        <w:rPr>
          <w:rFonts w:eastAsia="Times New Roman"/>
          <w:sz w:val="22"/>
          <w:szCs w:val="22"/>
        </w:rPr>
        <w:t>Immediately prior to use, remove the vaccine vial from the carton in the refrigerator.</w:t>
      </w:r>
    </w:p>
    <w:p w14:paraId="5EE30554" w14:textId="77777777" w:rsidR="002B02D6" w:rsidRDefault="002B02D6">
      <w:pPr>
        <w:pStyle w:val="NormalWeb"/>
        <w:spacing w:before="0" w:beforeAutospacing="0" w:after="0" w:afterAutospacing="0" w:line="260" w:lineRule="atLeast"/>
        <w:ind w:left="720"/>
        <w:divId w:val="646130844"/>
        <w:rPr>
          <w:sz w:val="22"/>
          <w:szCs w:val="22"/>
        </w:rPr>
      </w:pPr>
      <w:r>
        <w:rPr>
          <w:sz w:val="22"/>
          <w:szCs w:val="22"/>
        </w:rPr>
        <w:t> </w:t>
      </w:r>
    </w:p>
    <w:p w14:paraId="465046AD" w14:textId="77777777" w:rsidR="002B02D6" w:rsidRDefault="002B02D6">
      <w:pPr>
        <w:numPr>
          <w:ilvl w:val="0"/>
          <w:numId w:val="4"/>
        </w:numPr>
        <w:ind w:left="726" w:firstLine="6"/>
        <w:divId w:val="646130844"/>
        <w:rPr>
          <w:rFonts w:eastAsia="Times New Roman"/>
          <w:sz w:val="22"/>
          <w:szCs w:val="22"/>
        </w:rPr>
      </w:pPr>
      <w:r>
        <w:rPr>
          <w:rFonts w:eastAsia="Times New Roman"/>
          <w:sz w:val="22"/>
          <w:szCs w:val="22"/>
        </w:rPr>
        <w:t>Record the date and time of discard on the vial label. Use within 12 hours after first puncture. </w:t>
      </w:r>
    </w:p>
    <w:p w14:paraId="10B4288D" w14:textId="77777777" w:rsidR="002B02D6" w:rsidRDefault="002B02D6">
      <w:pPr>
        <w:pStyle w:val="NormalWeb"/>
        <w:spacing w:before="0" w:beforeAutospacing="0" w:after="0" w:afterAutospacing="0" w:line="260" w:lineRule="atLeast"/>
        <w:ind w:left="720"/>
        <w:divId w:val="646130844"/>
        <w:rPr>
          <w:sz w:val="22"/>
          <w:szCs w:val="22"/>
        </w:rPr>
      </w:pPr>
      <w:r>
        <w:rPr>
          <w:sz w:val="22"/>
          <w:szCs w:val="22"/>
        </w:rPr>
        <w:t> </w:t>
      </w:r>
    </w:p>
    <w:p w14:paraId="6A846A8F" w14:textId="77777777" w:rsidR="002B02D6" w:rsidRDefault="002B02D6">
      <w:pPr>
        <w:pStyle w:val="NormalWeb"/>
        <w:spacing w:before="0" w:beforeAutospacing="0" w:after="0" w:afterAutospacing="0"/>
        <w:divId w:val="646130844"/>
        <w:rPr>
          <w:sz w:val="22"/>
          <w:szCs w:val="22"/>
        </w:rPr>
      </w:pPr>
      <w:r>
        <w:rPr>
          <w:rStyle w:val="Emphasis"/>
          <w:sz w:val="22"/>
          <w:szCs w:val="22"/>
        </w:rPr>
        <w:t>Inspect the vial</w:t>
      </w:r>
    </w:p>
    <w:p w14:paraId="74F8D8C5" w14:textId="77777777" w:rsidR="002B02D6" w:rsidRDefault="002B02D6">
      <w:pPr>
        <w:numPr>
          <w:ilvl w:val="0"/>
          <w:numId w:val="5"/>
        </w:numPr>
        <w:ind w:left="726" w:firstLine="6"/>
        <w:divId w:val="646130844"/>
        <w:rPr>
          <w:rFonts w:eastAsia="Times New Roman"/>
          <w:sz w:val="22"/>
          <w:szCs w:val="22"/>
        </w:rPr>
      </w:pPr>
      <w:r>
        <w:rPr>
          <w:rFonts w:eastAsia="Times New Roman"/>
          <w:sz w:val="22"/>
          <w:szCs w:val="22"/>
        </w:rPr>
        <w:t>Gently swirl the multidose vial before and in between each dose withdrawal. Do not shake.</w:t>
      </w:r>
    </w:p>
    <w:p w14:paraId="09A10231" w14:textId="77777777" w:rsidR="002B02D6" w:rsidRDefault="002B02D6">
      <w:pPr>
        <w:pStyle w:val="NormalWeb"/>
        <w:spacing w:before="0" w:beforeAutospacing="0" w:after="0" w:afterAutospacing="0" w:line="260" w:lineRule="atLeast"/>
        <w:ind w:left="720"/>
        <w:divId w:val="646130844"/>
        <w:rPr>
          <w:sz w:val="22"/>
          <w:szCs w:val="22"/>
        </w:rPr>
      </w:pPr>
      <w:r>
        <w:rPr>
          <w:sz w:val="22"/>
          <w:szCs w:val="22"/>
        </w:rPr>
        <w:t> </w:t>
      </w:r>
    </w:p>
    <w:p w14:paraId="00DDD89D" w14:textId="77777777" w:rsidR="002B02D6" w:rsidRDefault="002B02D6">
      <w:pPr>
        <w:numPr>
          <w:ilvl w:val="0"/>
          <w:numId w:val="6"/>
        </w:numPr>
        <w:ind w:left="726" w:firstLine="6"/>
        <w:divId w:val="646130844"/>
        <w:rPr>
          <w:rFonts w:eastAsia="Times New Roman"/>
          <w:sz w:val="22"/>
          <w:szCs w:val="22"/>
        </w:rPr>
      </w:pPr>
      <w:r>
        <w:rPr>
          <w:rFonts w:eastAsia="Times New Roman"/>
          <w:sz w:val="22"/>
          <w:szCs w:val="22"/>
        </w:rPr>
        <w:t>Each multidose vial contains a colourless to slightly yellow, clear to mildly opalescent dispersion free from visible particles.</w:t>
      </w:r>
    </w:p>
    <w:p w14:paraId="59CBA519" w14:textId="77777777" w:rsidR="002B02D6" w:rsidRDefault="002B02D6">
      <w:pPr>
        <w:pStyle w:val="NormalWeb"/>
        <w:spacing w:before="0" w:beforeAutospacing="0" w:after="0" w:afterAutospacing="0" w:line="260" w:lineRule="atLeast"/>
        <w:ind w:left="720"/>
        <w:divId w:val="646130844"/>
        <w:rPr>
          <w:sz w:val="22"/>
          <w:szCs w:val="22"/>
        </w:rPr>
      </w:pPr>
      <w:r>
        <w:rPr>
          <w:sz w:val="22"/>
          <w:szCs w:val="22"/>
        </w:rPr>
        <w:t> </w:t>
      </w:r>
    </w:p>
    <w:p w14:paraId="74899469" w14:textId="77777777" w:rsidR="002B02D6" w:rsidRDefault="002B02D6">
      <w:pPr>
        <w:numPr>
          <w:ilvl w:val="0"/>
          <w:numId w:val="7"/>
        </w:numPr>
        <w:ind w:left="726" w:firstLine="6"/>
        <w:divId w:val="646130844"/>
        <w:rPr>
          <w:rFonts w:eastAsia="Times New Roman"/>
          <w:sz w:val="22"/>
          <w:szCs w:val="22"/>
        </w:rPr>
      </w:pPr>
      <w:r>
        <w:rPr>
          <w:rFonts w:eastAsia="Times New Roman"/>
          <w:sz w:val="22"/>
          <w:szCs w:val="22"/>
        </w:rPr>
        <w:t>Visually inspect the contents of the vial for visible particulate matter and/or discolouration prior to administration. Do not administer the vaccine if either are present.</w:t>
      </w:r>
    </w:p>
    <w:p w14:paraId="5D0F6DC3" w14:textId="77777777" w:rsidR="002B02D6" w:rsidRDefault="002B02D6">
      <w:pPr>
        <w:pStyle w:val="NormalWeb"/>
        <w:spacing w:before="0" w:beforeAutospacing="0" w:after="0" w:afterAutospacing="0"/>
        <w:divId w:val="646130844"/>
        <w:rPr>
          <w:sz w:val="22"/>
          <w:szCs w:val="22"/>
        </w:rPr>
      </w:pPr>
      <w:r>
        <w:rPr>
          <w:sz w:val="22"/>
          <w:szCs w:val="22"/>
        </w:rPr>
        <w:t> </w:t>
      </w:r>
    </w:p>
    <w:p w14:paraId="33F2C827" w14:textId="77777777" w:rsidR="002B02D6" w:rsidRDefault="002B02D6">
      <w:pPr>
        <w:pStyle w:val="NormalWeb"/>
        <w:spacing w:before="0" w:beforeAutospacing="0" w:after="0" w:afterAutospacing="0"/>
        <w:divId w:val="646130844"/>
        <w:rPr>
          <w:sz w:val="22"/>
          <w:szCs w:val="22"/>
        </w:rPr>
      </w:pPr>
      <w:r>
        <w:rPr>
          <w:rStyle w:val="Emphasis"/>
          <w:sz w:val="22"/>
          <w:szCs w:val="22"/>
        </w:rPr>
        <w:t>Administer the vaccine</w:t>
      </w:r>
    </w:p>
    <w:p w14:paraId="03F552BE" w14:textId="77777777" w:rsidR="002B02D6" w:rsidRDefault="002B02D6">
      <w:pPr>
        <w:numPr>
          <w:ilvl w:val="0"/>
          <w:numId w:val="8"/>
        </w:numPr>
        <w:ind w:left="726" w:firstLine="6"/>
        <w:divId w:val="646130844"/>
        <w:rPr>
          <w:rFonts w:eastAsia="Times New Roman"/>
          <w:sz w:val="22"/>
          <w:szCs w:val="22"/>
        </w:rPr>
      </w:pPr>
      <w:r>
        <w:rPr>
          <w:rFonts w:eastAsia="Times New Roman"/>
          <w:sz w:val="22"/>
          <w:szCs w:val="22"/>
        </w:rPr>
        <w:t>An overfill is included per vial to ensure that a maximum of 5 doses (vial of 2.5 mL) or 10 doses (vial of 5 mL) of 0.5 mL each can be extracted.</w:t>
      </w:r>
    </w:p>
    <w:p w14:paraId="7573FCF1" w14:textId="77777777" w:rsidR="002B02D6" w:rsidRDefault="002B02D6">
      <w:pPr>
        <w:pStyle w:val="NormalWeb"/>
        <w:spacing w:before="0" w:beforeAutospacing="0" w:after="0" w:afterAutospacing="0"/>
        <w:ind w:left="720"/>
        <w:divId w:val="646130844"/>
        <w:rPr>
          <w:sz w:val="22"/>
          <w:szCs w:val="22"/>
        </w:rPr>
      </w:pPr>
      <w:r>
        <w:rPr>
          <w:sz w:val="22"/>
          <w:szCs w:val="22"/>
        </w:rPr>
        <w:t> </w:t>
      </w:r>
    </w:p>
    <w:p w14:paraId="7DBB930C" w14:textId="77777777" w:rsidR="002B02D6" w:rsidRDefault="002B02D6">
      <w:pPr>
        <w:numPr>
          <w:ilvl w:val="0"/>
          <w:numId w:val="9"/>
        </w:numPr>
        <w:ind w:left="726" w:firstLine="6"/>
        <w:divId w:val="646130844"/>
        <w:rPr>
          <w:rFonts w:eastAsia="Times New Roman"/>
          <w:sz w:val="22"/>
          <w:szCs w:val="22"/>
        </w:rPr>
      </w:pPr>
      <w:r>
        <w:rPr>
          <w:rFonts w:eastAsia="Times New Roman"/>
          <w:sz w:val="22"/>
          <w:szCs w:val="22"/>
        </w:rPr>
        <w:t>Each 0.5 </w:t>
      </w:r>
      <w:r>
        <w:rPr>
          <w:rFonts w:eastAsia="Times New Roman"/>
          <w:sz w:val="22"/>
          <w:szCs w:val="22"/>
        </w:rPr>
        <w:t>mL dose is withdrawn into a sterile needle and sterile syringe to be administered by intramuscular injection, preferably in the deltoid muscle of the upper arm.</w:t>
      </w:r>
    </w:p>
    <w:p w14:paraId="200529F9" w14:textId="77777777" w:rsidR="002B02D6" w:rsidRDefault="002B02D6">
      <w:pPr>
        <w:pStyle w:val="NormalWeb"/>
        <w:spacing w:before="0" w:beforeAutospacing="0" w:after="0" w:afterAutospacing="0" w:line="260" w:lineRule="atLeast"/>
        <w:ind w:left="720"/>
        <w:divId w:val="646130844"/>
        <w:rPr>
          <w:sz w:val="22"/>
          <w:szCs w:val="22"/>
        </w:rPr>
      </w:pPr>
      <w:r>
        <w:rPr>
          <w:sz w:val="22"/>
          <w:szCs w:val="22"/>
        </w:rPr>
        <w:t> </w:t>
      </w:r>
    </w:p>
    <w:p w14:paraId="0127FD9E" w14:textId="77777777" w:rsidR="002B02D6" w:rsidRDefault="002B02D6">
      <w:pPr>
        <w:numPr>
          <w:ilvl w:val="0"/>
          <w:numId w:val="10"/>
        </w:numPr>
        <w:ind w:left="1446" w:firstLine="6"/>
        <w:divId w:val="646130844"/>
        <w:rPr>
          <w:rFonts w:eastAsia="Times New Roman"/>
          <w:sz w:val="22"/>
          <w:szCs w:val="22"/>
        </w:rPr>
      </w:pPr>
      <w:r>
        <w:rPr>
          <w:rFonts w:eastAsia="Times New Roman"/>
          <w:sz w:val="22"/>
          <w:szCs w:val="22"/>
        </w:rPr>
        <w:t>Do not mix the vaccine in the same syringe with any other vaccines or medicinal products.</w:t>
      </w:r>
    </w:p>
    <w:p w14:paraId="763946CD" w14:textId="77777777" w:rsidR="002B02D6" w:rsidRDefault="002B02D6">
      <w:pPr>
        <w:pStyle w:val="NormalWeb"/>
        <w:spacing w:before="0" w:beforeAutospacing="0" w:after="0" w:afterAutospacing="0"/>
        <w:ind w:left="1440"/>
        <w:divId w:val="646130844"/>
        <w:rPr>
          <w:sz w:val="22"/>
          <w:szCs w:val="22"/>
        </w:rPr>
      </w:pPr>
      <w:r>
        <w:rPr>
          <w:sz w:val="22"/>
          <w:szCs w:val="22"/>
        </w:rPr>
        <w:t> </w:t>
      </w:r>
    </w:p>
    <w:p w14:paraId="0E5E0D5B" w14:textId="77777777" w:rsidR="002B02D6" w:rsidRDefault="002B02D6">
      <w:pPr>
        <w:numPr>
          <w:ilvl w:val="0"/>
          <w:numId w:val="11"/>
        </w:numPr>
        <w:ind w:left="1446" w:firstLine="6"/>
        <w:divId w:val="646130844"/>
        <w:rPr>
          <w:rFonts w:eastAsia="Times New Roman"/>
          <w:sz w:val="22"/>
          <w:szCs w:val="22"/>
        </w:rPr>
      </w:pPr>
      <w:r>
        <w:rPr>
          <w:rFonts w:eastAsia="Times New Roman"/>
          <w:sz w:val="22"/>
          <w:szCs w:val="22"/>
        </w:rPr>
        <w:t>Do not pool excess vaccine from multiple vials.</w:t>
      </w:r>
    </w:p>
    <w:p w14:paraId="493303B2" w14:textId="77777777" w:rsidR="002B02D6" w:rsidRDefault="002B02D6">
      <w:pPr>
        <w:pStyle w:val="NormalWeb"/>
        <w:spacing w:before="0" w:beforeAutospacing="0" w:after="0" w:afterAutospacing="0" w:line="260" w:lineRule="atLeast"/>
        <w:divId w:val="646130844"/>
        <w:rPr>
          <w:sz w:val="22"/>
          <w:szCs w:val="22"/>
        </w:rPr>
      </w:pPr>
      <w:r>
        <w:rPr>
          <w:sz w:val="22"/>
          <w:szCs w:val="22"/>
        </w:rPr>
        <w:t> </w:t>
      </w:r>
    </w:p>
    <w:p w14:paraId="4521A0E0" w14:textId="77777777" w:rsidR="002B02D6" w:rsidRDefault="002B02D6">
      <w:pPr>
        <w:pStyle w:val="NormalWeb"/>
        <w:spacing w:before="0" w:beforeAutospacing="0" w:after="0" w:afterAutospacing="0" w:line="260" w:lineRule="atLeast"/>
        <w:divId w:val="646130844"/>
        <w:rPr>
          <w:sz w:val="22"/>
          <w:szCs w:val="22"/>
        </w:rPr>
      </w:pPr>
      <w:r>
        <w:rPr>
          <w:rStyle w:val="Emphasis"/>
          <w:sz w:val="22"/>
          <w:szCs w:val="22"/>
        </w:rPr>
        <w:t>Storage after first needle puncture</w:t>
      </w:r>
    </w:p>
    <w:p w14:paraId="362589B7" w14:textId="77777777" w:rsidR="002B02D6" w:rsidRDefault="002B02D6">
      <w:pPr>
        <w:numPr>
          <w:ilvl w:val="0"/>
          <w:numId w:val="12"/>
        </w:numPr>
        <w:ind w:left="726" w:firstLine="6"/>
        <w:divId w:val="646130844"/>
        <w:rPr>
          <w:rFonts w:eastAsia="Times New Roman"/>
          <w:sz w:val="22"/>
          <w:szCs w:val="22"/>
        </w:rPr>
      </w:pPr>
      <w:r>
        <w:rPr>
          <w:rFonts w:eastAsia="Times New Roman"/>
          <w:sz w:val="22"/>
          <w:szCs w:val="22"/>
        </w:rPr>
        <w:t xml:space="preserve">Store the opened vial between 2°C to 8°C for up to 12 hours </w:t>
      </w:r>
      <w:r>
        <w:rPr>
          <w:rFonts w:eastAsia="Times New Roman"/>
          <w:color w:val="000000"/>
          <w:sz w:val="22"/>
          <w:szCs w:val="22"/>
        </w:rPr>
        <w:t xml:space="preserve">or at room temperature (maximum 25°C) for up to 6 hours </w:t>
      </w:r>
      <w:r>
        <w:rPr>
          <w:rFonts w:eastAsia="Times New Roman"/>
          <w:sz w:val="22"/>
          <w:szCs w:val="22"/>
        </w:rPr>
        <w:t>after first puncture, see section 6.3.</w:t>
      </w:r>
    </w:p>
    <w:p w14:paraId="5921113D" w14:textId="77777777" w:rsidR="002B02D6" w:rsidRDefault="002B02D6">
      <w:pPr>
        <w:pStyle w:val="NormalWeb"/>
        <w:spacing w:before="0" w:beforeAutospacing="0" w:after="0" w:afterAutospacing="0"/>
        <w:divId w:val="646130844"/>
        <w:rPr>
          <w:sz w:val="22"/>
          <w:szCs w:val="22"/>
        </w:rPr>
      </w:pPr>
      <w:r>
        <w:rPr>
          <w:rStyle w:val="Emphasis"/>
          <w:sz w:val="22"/>
          <w:szCs w:val="22"/>
        </w:rPr>
        <w:t> </w:t>
      </w:r>
    </w:p>
    <w:p w14:paraId="649F303E" w14:textId="77777777" w:rsidR="002B02D6" w:rsidRDefault="002B02D6">
      <w:pPr>
        <w:pStyle w:val="NormalWeb"/>
        <w:spacing w:before="0" w:beforeAutospacing="0" w:after="0" w:afterAutospacing="0"/>
        <w:divId w:val="646130844"/>
        <w:rPr>
          <w:sz w:val="22"/>
          <w:szCs w:val="22"/>
        </w:rPr>
      </w:pPr>
      <w:r>
        <w:rPr>
          <w:rStyle w:val="Emphasis"/>
          <w:sz w:val="22"/>
          <w:szCs w:val="22"/>
        </w:rPr>
        <w:t>Discard</w:t>
      </w:r>
    </w:p>
    <w:p w14:paraId="4A0AA79E" w14:textId="77777777" w:rsidR="002B02D6" w:rsidRDefault="002B02D6">
      <w:pPr>
        <w:numPr>
          <w:ilvl w:val="0"/>
          <w:numId w:val="13"/>
        </w:numPr>
        <w:ind w:left="726" w:firstLine="6"/>
        <w:divId w:val="646130844"/>
        <w:rPr>
          <w:rFonts w:eastAsia="Times New Roman"/>
          <w:sz w:val="22"/>
          <w:szCs w:val="22"/>
        </w:rPr>
      </w:pPr>
      <w:r>
        <w:rPr>
          <w:rFonts w:eastAsia="Times New Roman"/>
          <w:sz w:val="22"/>
          <w:szCs w:val="22"/>
        </w:rPr>
        <w:t xml:space="preserve">Discard this vaccine if not used within 12 hours </w:t>
      </w:r>
      <w:r>
        <w:rPr>
          <w:rFonts w:eastAsia="Times New Roman"/>
          <w:color w:val="000000"/>
          <w:sz w:val="22"/>
          <w:szCs w:val="22"/>
        </w:rPr>
        <w:t>when stored between 2°C to 8°C or 6 hours when stored at room temperature</w:t>
      </w:r>
      <w:r>
        <w:rPr>
          <w:rFonts w:eastAsia="Times New Roman"/>
          <w:sz w:val="22"/>
          <w:szCs w:val="22"/>
        </w:rPr>
        <w:t xml:space="preserve"> after first puncture of the vial, see section 6.3.</w:t>
      </w:r>
    </w:p>
    <w:p w14:paraId="15CD4439" w14:textId="77777777" w:rsidR="002B02D6" w:rsidRDefault="002B02D6">
      <w:pPr>
        <w:pStyle w:val="NormalWeb"/>
        <w:spacing w:before="0" w:beforeAutospacing="0" w:after="0" w:afterAutospacing="0"/>
        <w:divId w:val="646130844"/>
        <w:rPr>
          <w:sz w:val="22"/>
          <w:szCs w:val="22"/>
        </w:rPr>
      </w:pPr>
      <w:r>
        <w:rPr>
          <w:sz w:val="22"/>
          <w:szCs w:val="22"/>
        </w:rPr>
        <w:t> </w:t>
      </w:r>
    </w:p>
    <w:p w14:paraId="7EBF00CA" w14:textId="77777777" w:rsidR="002B02D6" w:rsidRDefault="002B02D6">
      <w:pPr>
        <w:pStyle w:val="NormalWeb"/>
        <w:spacing w:before="0" w:beforeAutospacing="0" w:after="0" w:afterAutospacing="0"/>
        <w:divId w:val="646130844"/>
        <w:rPr>
          <w:sz w:val="22"/>
          <w:szCs w:val="22"/>
        </w:rPr>
      </w:pPr>
      <w:r>
        <w:rPr>
          <w:rStyle w:val="Emphasis"/>
          <w:sz w:val="22"/>
          <w:szCs w:val="22"/>
        </w:rPr>
        <w:t>Disposal</w:t>
      </w:r>
    </w:p>
    <w:p w14:paraId="008E4D88" w14:textId="77777777" w:rsidR="002B02D6" w:rsidRDefault="002B02D6">
      <w:pPr>
        <w:numPr>
          <w:ilvl w:val="0"/>
          <w:numId w:val="14"/>
        </w:numPr>
        <w:ind w:left="726" w:firstLine="6"/>
        <w:divId w:val="646130844"/>
        <w:rPr>
          <w:rFonts w:eastAsia="Times New Roman"/>
          <w:sz w:val="22"/>
          <w:szCs w:val="22"/>
        </w:rPr>
      </w:pPr>
      <w:r>
        <w:rPr>
          <w:rFonts w:eastAsia="Times New Roman"/>
          <w:sz w:val="22"/>
          <w:szCs w:val="22"/>
        </w:rPr>
        <w:t>Any unused medicinal product or waste material should be disposed of in accordance with local requirements.</w:t>
      </w:r>
    </w:p>
    <w:p w14:paraId="6E410F87" w14:textId="77777777" w:rsidR="002B02D6" w:rsidRDefault="002B02D6">
      <w:pPr>
        <w:pStyle w:val="NormalWeb"/>
        <w:spacing w:before="0" w:beforeAutospacing="0" w:after="0" w:afterAutospacing="0"/>
        <w:divId w:val="646130844"/>
        <w:rPr>
          <w:sz w:val="22"/>
          <w:szCs w:val="22"/>
        </w:rPr>
      </w:pPr>
      <w:r>
        <w:rPr>
          <w:sz w:val="22"/>
          <w:szCs w:val="22"/>
        </w:rPr>
        <w:t> </w:t>
      </w:r>
    </w:p>
    <w:p w14:paraId="50FDA5EE" w14:textId="77777777" w:rsidR="002B02D6" w:rsidRDefault="002B02D6">
      <w:pPr>
        <w:pStyle w:val="NormalWeb"/>
        <w:spacing w:before="0" w:beforeAutospacing="0" w:after="0" w:afterAutospacing="0"/>
        <w:divId w:val="646130844"/>
        <w:rPr>
          <w:sz w:val="22"/>
          <w:szCs w:val="22"/>
        </w:rPr>
      </w:pPr>
      <w:r>
        <w:rPr>
          <w:sz w:val="22"/>
          <w:szCs w:val="22"/>
        </w:rPr>
        <w:t> </w:t>
      </w:r>
    </w:p>
    <w:p w14:paraId="2DD37274" w14:textId="77777777" w:rsidR="002B02D6" w:rsidRDefault="002B02D6">
      <w:pPr>
        <w:pStyle w:val="NormalWeb"/>
      </w:pPr>
      <w:r>
        <w:t>7. MARKETING AUTHORISATION HOLDER</w:t>
      </w:r>
    </w:p>
    <w:p w14:paraId="23DAA190" w14:textId="77777777" w:rsidR="002B02D6" w:rsidRDefault="002B02D6">
      <w:pPr>
        <w:pStyle w:val="NormalWeb"/>
        <w:spacing w:before="0" w:beforeAutospacing="0" w:after="0" w:afterAutospacing="0"/>
        <w:divId w:val="1933582826"/>
        <w:rPr>
          <w:sz w:val="22"/>
          <w:szCs w:val="22"/>
        </w:rPr>
      </w:pPr>
      <w:r>
        <w:rPr>
          <w:sz w:val="22"/>
          <w:szCs w:val="22"/>
        </w:rPr>
        <w:t> </w:t>
      </w:r>
    </w:p>
    <w:p w14:paraId="1574C77D" w14:textId="77777777" w:rsidR="002B02D6" w:rsidRDefault="002B02D6">
      <w:pPr>
        <w:pStyle w:val="NormalWeb"/>
        <w:spacing w:before="0" w:beforeAutospacing="0" w:after="0" w:afterAutospacing="0" w:line="260" w:lineRule="atLeast"/>
        <w:divId w:val="1933582826"/>
        <w:rPr>
          <w:sz w:val="22"/>
          <w:szCs w:val="22"/>
        </w:rPr>
      </w:pPr>
      <w:r>
        <w:rPr>
          <w:sz w:val="22"/>
          <w:szCs w:val="22"/>
        </w:rPr>
        <w:t>Novavax CZ a.s.</w:t>
      </w:r>
    </w:p>
    <w:p w14:paraId="3C15C666" w14:textId="77777777" w:rsidR="002B02D6" w:rsidRDefault="002B02D6">
      <w:pPr>
        <w:pStyle w:val="NormalWeb"/>
        <w:spacing w:before="0" w:beforeAutospacing="0" w:after="0" w:afterAutospacing="0"/>
        <w:divId w:val="1933582826"/>
        <w:rPr>
          <w:sz w:val="22"/>
          <w:szCs w:val="22"/>
        </w:rPr>
      </w:pPr>
      <w:r>
        <w:rPr>
          <w:sz w:val="22"/>
          <w:szCs w:val="22"/>
        </w:rPr>
        <w:t>Líbalova 2348/1, Chodov</w:t>
      </w:r>
    </w:p>
    <w:p w14:paraId="2A69158A" w14:textId="77777777" w:rsidR="002B02D6" w:rsidRDefault="002B02D6">
      <w:pPr>
        <w:pStyle w:val="NormalWeb"/>
        <w:spacing w:before="0" w:beforeAutospacing="0" w:after="0" w:afterAutospacing="0"/>
        <w:divId w:val="1933582826"/>
        <w:rPr>
          <w:sz w:val="22"/>
          <w:szCs w:val="22"/>
        </w:rPr>
      </w:pPr>
      <w:r>
        <w:rPr>
          <w:sz w:val="22"/>
          <w:szCs w:val="22"/>
        </w:rPr>
        <w:t>149 00 Praha 4</w:t>
      </w:r>
    </w:p>
    <w:p w14:paraId="1C6C2AD9" w14:textId="77777777" w:rsidR="002B02D6" w:rsidRDefault="002B02D6">
      <w:pPr>
        <w:pStyle w:val="NormalWeb"/>
        <w:spacing w:before="0" w:beforeAutospacing="0" w:after="0" w:afterAutospacing="0"/>
        <w:divId w:val="1933582826"/>
        <w:rPr>
          <w:sz w:val="22"/>
          <w:szCs w:val="22"/>
        </w:rPr>
      </w:pPr>
      <w:r>
        <w:rPr>
          <w:sz w:val="22"/>
          <w:szCs w:val="22"/>
        </w:rPr>
        <w:t>Czechia</w:t>
      </w:r>
    </w:p>
    <w:p w14:paraId="7CB486E4" w14:textId="77777777" w:rsidR="002B02D6" w:rsidRDefault="002B02D6">
      <w:pPr>
        <w:pStyle w:val="NormalWeb"/>
        <w:spacing w:before="0" w:beforeAutospacing="0" w:after="0" w:afterAutospacing="0"/>
        <w:divId w:val="1933582826"/>
        <w:rPr>
          <w:sz w:val="22"/>
          <w:szCs w:val="22"/>
        </w:rPr>
      </w:pPr>
      <w:r>
        <w:rPr>
          <w:sz w:val="22"/>
          <w:szCs w:val="22"/>
        </w:rPr>
        <w:t> </w:t>
      </w:r>
    </w:p>
    <w:p w14:paraId="34A7E4A5" w14:textId="77777777" w:rsidR="002B02D6" w:rsidRDefault="002B02D6">
      <w:pPr>
        <w:pStyle w:val="NormalWeb"/>
        <w:spacing w:before="0" w:beforeAutospacing="0" w:after="0" w:afterAutospacing="0"/>
        <w:divId w:val="1933582826"/>
        <w:rPr>
          <w:sz w:val="22"/>
          <w:szCs w:val="22"/>
        </w:rPr>
      </w:pPr>
      <w:r>
        <w:rPr>
          <w:sz w:val="22"/>
          <w:szCs w:val="22"/>
        </w:rPr>
        <w:t> </w:t>
      </w:r>
    </w:p>
    <w:p w14:paraId="27FB6589" w14:textId="77777777" w:rsidR="002B02D6" w:rsidRDefault="002B02D6">
      <w:pPr>
        <w:pStyle w:val="NormalWeb"/>
      </w:pPr>
      <w:r>
        <w:t>8. MARKETING AUTHORISATION NUMBER(S)</w:t>
      </w:r>
    </w:p>
    <w:p w14:paraId="7272F935" w14:textId="77777777" w:rsidR="002B02D6" w:rsidRDefault="002B02D6">
      <w:pPr>
        <w:pStyle w:val="NormalWeb"/>
        <w:spacing w:before="0" w:beforeAutospacing="0" w:after="0" w:afterAutospacing="0"/>
        <w:divId w:val="801650065"/>
        <w:rPr>
          <w:sz w:val="22"/>
          <w:szCs w:val="22"/>
        </w:rPr>
      </w:pPr>
      <w:r>
        <w:rPr>
          <w:sz w:val="22"/>
          <w:szCs w:val="22"/>
        </w:rPr>
        <w:t> </w:t>
      </w:r>
    </w:p>
    <w:p w14:paraId="3FCF482F" w14:textId="77777777" w:rsidR="002B02D6" w:rsidRDefault="002B02D6">
      <w:pPr>
        <w:pStyle w:val="NormalWeb"/>
        <w:spacing w:before="0" w:beforeAutospacing="0" w:after="0" w:afterAutospacing="0"/>
        <w:divId w:val="801650065"/>
        <w:rPr>
          <w:sz w:val="22"/>
          <w:szCs w:val="22"/>
        </w:rPr>
      </w:pPr>
      <w:r>
        <w:rPr>
          <w:sz w:val="22"/>
          <w:szCs w:val="22"/>
        </w:rPr>
        <w:t>EU/1/21/1618/001        10 multidose vials (10 doses per vial)</w:t>
      </w:r>
    </w:p>
    <w:p w14:paraId="0E111C80" w14:textId="77777777" w:rsidR="002B02D6" w:rsidRDefault="002B02D6">
      <w:pPr>
        <w:pStyle w:val="NormalWeb"/>
        <w:spacing w:before="0" w:beforeAutospacing="0" w:after="0" w:afterAutospacing="0"/>
        <w:divId w:val="801650065"/>
        <w:rPr>
          <w:sz w:val="22"/>
          <w:szCs w:val="22"/>
        </w:rPr>
      </w:pPr>
      <w:r>
        <w:rPr>
          <w:sz w:val="22"/>
          <w:szCs w:val="22"/>
        </w:rPr>
        <w:t>EU/1/21/1618/002         10 multidose vials (5 doses per vial)</w:t>
      </w:r>
    </w:p>
    <w:p w14:paraId="417F23C8" w14:textId="77777777" w:rsidR="002B02D6" w:rsidRDefault="002B02D6">
      <w:pPr>
        <w:pStyle w:val="NormalWeb"/>
        <w:spacing w:before="0" w:beforeAutospacing="0" w:after="0" w:afterAutospacing="0"/>
        <w:divId w:val="801650065"/>
        <w:rPr>
          <w:sz w:val="22"/>
          <w:szCs w:val="22"/>
        </w:rPr>
      </w:pPr>
      <w:r>
        <w:rPr>
          <w:sz w:val="22"/>
          <w:szCs w:val="22"/>
        </w:rPr>
        <w:t>EU/1/21/1618/003         2 multidose vials (10 doses per vial)</w:t>
      </w:r>
    </w:p>
    <w:p w14:paraId="458C7BDC" w14:textId="77777777" w:rsidR="002B02D6" w:rsidRDefault="002B02D6">
      <w:pPr>
        <w:pStyle w:val="NormalWeb"/>
        <w:spacing w:before="0" w:beforeAutospacing="0" w:after="0" w:afterAutospacing="0"/>
        <w:divId w:val="801650065"/>
        <w:rPr>
          <w:sz w:val="22"/>
          <w:szCs w:val="22"/>
        </w:rPr>
      </w:pPr>
      <w:r>
        <w:rPr>
          <w:sz w:val="22"/>
          <w:szCs w:val="22"/>
        </w:rPr>
        <w:t>EU/1/21/1618/004         2 multidose vials (5 doses per vial)</w:t>
      </w:r>
    </w:p>
    <w:p w14:paraId="39787659" w14:textId="77777777" w:rsidR="002B02D6" w:rsidRDefault="002B02D6">
      <w:pPr>
        <w:pStyle w:val="NormalWeb"/>
        <w:spacing w:before="0" w:beforeAutospacing="0" w:after="0" w:afterAutospacing="0"/>
        <w:divId w:val="801650065"/>
        <w:rPr>
          <w:sz w:val="22"/>
          <w:szCs w:val="22"/>
        </w:rPr>
      </w:pPr>
      <w:r>
        <w:rPr>
          <w:sz w:val="22"/>
          <w:szCs w:val="22"/>
        </w:rPr>
        <w:t> </w:t>
      </w:r>
    </w:p>
    <w:p w14:paraId="5D60FC7D" w14:textId="77777777" w:rsidR="002B02D6" w:rsidRDefault="002B02D6">
      <w:pPr>
        <w:pStyle w:val="NormalWeb"/>
        <w:spacing w:before="0" w:beforeAutospacing="0" w:after="0" w:afterAutospacing="0"/>
        <w:divId w:val="801650065"/>
        <w:rPr>
          <w:sz w:val="22"/>
          <w:szCs w:val="22"/>
        </w:rPr>
      </w:pPr>
      <w:r>
        <w:rPr>
          <w:sz w:val="22"/>
          <w:szCs w:val="22"/>
        </w:rPr>
        <w:t> </w:t>
      </w:r>
    </w:p>
    <w:p w14:paraId="6CC31E2D" w14:textId="77777777" w:rsidR="002B02D6" w:rsidRDefault="002B02D6">
      <w:pPr>
        <w:pStyle w:val="NormalWeb"/>
      </w:pPr>
      <w:r>
        <w:t>9. DATE OF FIRST AUTHORISATION/RENEWAL OF THE AUTHORISATION</w:t>
      </w:r>
    </w:p>
    <w:p w14:paraId="14698B3A" w14:textId="77777777" w:rsidR="002B02D6" w:rsidRDefault="002B02D6">
      <w:pPr>
        <w:pStyle w:val="NormalWeb"/>
        <w:spacing w:before="0" w:beforeAutospacing="0" w:after="0" w:afterAutospacing="0"/>
        <w:divId w:val="546261494"/>
        <w:rPr>
          <w:sz w:val="22"/>
          <w:szCs w:val="22"/>
        </w:rPr>
      </w:pPr>
      <w:r>
        <w:rPr>
          <w:rStyle w:val="Emphasis"/>
          <w:sz w:val="22"/>
          <w:szCs w:val="22"/>
        </w:rPr>
        <w:t> </w:t>
      </w:r>
    </w:p>
    <w:p w14:paraId="300EF2AF" w14:textId="77777777" w:rsidR="002B02D6" w:rsidRDefault="002B02D6">
      <w:pPr>
        <w:pStyle w:val="NormalWeb"/>
        <w:spacing w:before="0" w:beforeAutospacing="0" w:after="0" w:afterAutospacing="0"/>
        <w:divId w:val="546261494"/>
        <w:rPr>
          <w:sz w:val="22"/>
          <w:szCs w:val="22"/>
        </w:rPr>
      </w:pPr>
      <w:r>
        <w:rPr>
          <w:sz w:val="22"/>
          <w:szCs w:val="22"/>
        </w:rPr>
        <w:t>Date of first authorisation: 20 December 2021</w:t>
      </w:r>
    </w:p>
    <w:p w14:paraId="4880E968" w14:textId="77777777" w:rsidR="002B02D6" w:rsidRDefault="002B02D6">
      <w:pPr>
        <w:pStyle w:val="NormalWeb"/>
        <w:spacing w:before="0" w:beforeAutospacing="0" w:after="0" w:afterAutospacing="0"/>
        <w:divId w:val="546261494"/>
        <w:rPr>
          <w:sz w:val="22"/>
          <w:szCs w:val="22"/>
        </w:rPr>
      </w:pPr>
      <w:r>
        <w:rPr>
          <w:sz w:val="22"/>
          <w:szCs w:val="22"/>
        </w:rPr>
        <w:t>Date of latest renewal: 03 October 2022</w:t>
      </w:r>
    </w:p>
    <w:p w14:paraId="14871FB6" w14:textId="77777777" w:rsidR="002B02D6" w:rsidRDefault="002B02D6">
      <w:pPr>
        <w:pStyle w:val="NormalWeb"/>
        <w:spacing w:before="0" w:beforeAutospacing="0" w:after="0" w:afterAutospacing="0"/>
        <w:divId w:val="546261494"/>
        <w:rPr>
          <w:sz w:val="22"/>
          <w:szCs w:val="22"/>
        </w:rPr>
      </w:pPr>
      <w:r>
        <w:rPr>
          <w:sz w:val="22"/>
          <w:szCs w:val="22"/>
        </w:rPr>
        <w:t> </w:t>
      </w:r>
    </w:p>
    <w:p w14:paraId="1ED8564C" w14:textId="77777777" w:rsidR="002B02D6" w:rsidRDefault="002B02D6">
      <w:pPr>
        <w:pStyle w:val="NormalWeb"/>
      </w:pPr>
      <w:r>
        <w:t>10. DATE OF REVISION OF THE TEXT</w:t>
      </w:r>
    </w:p>
    <w:p w14:paraId="6C735888" w14:textId="77777777" w:rsidR="002B02D6" w:rsidRDefault="002B02D6">
      <w:pPr>
        <w:pStyle w:val="NormalWeb"/>
        <w:spacing w:before="0" w:beforeAutospacing="0" w:after="0" w:afterAutospacing="0"/>
        <w:ind w:right="-2"/>
        <w:divId w:val="149560960"/>
        <w:rPr>
          <w:sz w:val="22"/>
          <w:szCs w:val="22"/>
        </w:rPr>
      </w:pPr>
      <w:r>
        <w:rPr>
          <w:sz w:val="22"/>
          <w:szCs w:val="22"/>
        </w:rPr>
        <w:t> </w:t>
      </w:r>
    </w:p>
    <w:p w14:paraId="201838B8" w14:textId="77777777" w:rsidR="002B02D6" w:rsidRDefault="002B02D6">
      <w:pPr>
        <w:pStyle w:val="NormalWeb"/>
        <w:spacing w:before="0" w:beforeAutospacing="0" w:after="0" w:afterAutospacing="0"/>
        <w:ind w:right="-2"/>
        <w:divId w:val="149560960"/>
        <w:rPr>
          <w:sz w:val="22"/>
          <w:szCs w:val="22"/>
        </w:rPr>
      </w:pPr>
      <w:r>
        <w:rPr>
          <w:sz w:val="22"/>
          <w:szCs w:val="22"/>
        </w:rPr>
        <w:t xml:space="preserve">Detailed information on this medicinal product is available on the website of the European Medicines Agency </w:t>
      </w:r>
      <w:hyperlink r:id="rId6" w:history="1">
        <w:r>
          <w:rPr>
            <w:rStyle w:val="Hyperlink"/>
            <w:sz w:val="22"/>
            <w:szCs w:val="22"/>
          </w:rPr>
          <w:t>http://www.ema.europa.eu</w:t>
        </w:r>
      </w:hyperlink>
      <w:r>
        <w:rPr>
          <w:sz w:val="22"/>
          <w:szCs w:val="22"/>
        </w:rPr>
        <w:t>.</w:t>
      </w:r>
    </w:p>
    <w:p w14:paraId="5C44A01E" w14:textId="77777777" w:rsidR="002B02D6" w:rsidRDefault="002B02D6">
      <w:pPr>
        <w:pStyle w:val="NormalWeb"/>
        <w:spacing w:before="0" w:beforeAutospacing="0" w:after="0" w:afterAutospacing="0"/>
        <w:divId w:val="149560960"/>
        <w:rPr>
          <w:sz w:val="22"/>
          <w:szCs w:val="22"/>
        </w:rPr>
      </w:pPr>
      <w:r>
        <w:rPr>
          <w:sz w:val="22"/>
          <w:szCs w:val="22"/>
        </w:rPr>
        <w:t> </w:t>
      </w:r>
    </w:p>
    <w:p w14:paraId="4FBF7E5B" w14:textId="77777777" w:rsidR="002B02D6" w:rsidRDefault="002B02D6">
      <w:pPr>
        <w:pStyle w:val="NormalWeb"/>
      </w:pPr>
      <w:r>
        <w:t>ANNEX II</w:t>
      </w:r>
    </w:p>
    <w:sectPr w:rsidR="002B0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E5386"/>
    <w:multiLevelType w:val="multilevel"/>
    <w:tmpl w:val="F154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16B9"/>
    <w:multiLevelType w:val="multilevel"/>
    <w:tmpl w:val="C05C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D19BE"/>
    <w:multiLevelType w:val="multilevel"/>
    <w:tmpl w:val="9FD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A6895"/>
    <w:multiLevelType w:val="multilevel"/>
    <w:tmpl w:val="BC2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D14FC"/>
    <w:multiLevelType w:val="multilevel"/>
    <w:tmpl w:val="8428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117D6"/>
    <w:multiLevelType w:val="multilevel"/>
    <w:tmpl w:val="269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22E98"/>
    <w:multiLevelType w:val="multilevel"/>
    <w:tmpl w:val="682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C2E1C"/>
    <w:multiLevelType w:val="multilevel"/>
    <w:tmpl w:val="6C1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021FF"/>
    <w:multiLevelType w:val="multilevel"/>
    <w:tmpl w:val="F8F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66862"/>
    <w:multiLevelType w:val="multilevel"/>
    <w:tmpl w:val="853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232E2"/>
    <w:multiLevelType w:val="multilevel"/>
    <w:tmpl w:val="AB8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57C49"/>
    <w:multiLevelType w:val="multilevel"/>
    <w:tmpl w:val="C12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683E5B"/>
    <w:multiLevelType w:val="multilevel"/>
    <w:tmpl w:val="D13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973CD"/>
    <w:multiLevelType w:val="multilevel"/>
    <w:tmpl w:val="B63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141525">
    <w:abstractNumId w:val="6"/>
  </w:num>
  <w:num w:numId="2" w16cid:durableId="926504761">
    <w:abstractNumId w:val="9"/>
  </w:num>
  <w:num w:numId="3" w16cid:durableId="923147982">
    <w:abstractNumId w:val="11"/>
  </w:num>
  <w:num w:numId="4" w16cid:durableId="870649129">
    <w:abstractNumId w:val="1"/>
  </w:num>
  <w:num w:numId="5" w16cid:durableId="316157202">
    <w:abstractNumId w:val="0"/>
  </w:num>
  <w:num w:numId="6" w16cid:durableId="1067849286">
    <w:abstractNumId w:val="4"/>
  </w:num>
  <w:num w:numId="7" w16cid:durableId="429203815">
    <w:abstractNumId w:val="2"/>
  </w:num>
  <w:num w:numId="8" w16cid:durableId="2016305527">
    <w:abstractNumId w:val="3"/>
  </w:num>
  <w:num w:numId="9" w16cid:durableId="2041470993">
    <w:abstractNumId w:val="8"/>
  </w:num>
  <w:num w:numId="10" w16cid:durableId="1482623966">
    <w:abstractNumId w:val="7"/>
  </w:num>
  <w:num w:numId="11" w16cid:durableId="673611640">
    <w:abstractNumId w:val="13"/>
  </w:num>
  <w:num w:numId="12" w16cid:durableId="1671063690">
    <w:abstractNumId w:val="12"/>
  </w:num>
  <w:num w:numId="13" w16cid:durableId="1696232227">
    <w:abstractNumId w:val="5"/>
  </w:num>
  <w:num w:numId="14" w16cid:durableId="6449402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3713"/>
    <w:rsid w:val="002B02D6"/>
    <w:rsid w:val="002B071B"/>
    <w:rsid w:val="0066371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1B4194C"/>
  <w15:chartTrackingRefBased/>
  <w15:docId w15:val="{B1372C36-4F63-5240-9BF2-59FA7086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normaltextrun">
    <w:name w:val="normaltextrun"/>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eop">
    <w:name w:val="eo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186083">
      <w:marLeft w:val="0"/>
      <w:marRight w:val="0"/>
      <w:marTop w:val="0"/>
      <w:marBottom w:val="0"/>
      <w:divBdr>
        <w:top w:val="none" w:sz="0" w:space="0" w:color="auto"/>
        <w:left w:val="none" w:sz="0" w:space="0" w:color="auto"/>
        <w:bottom w:val="none" w:sz="0" w:space="0" w:color="auto"/>
        <w:right w:val="none" w:sz="0" w:space="0" w:color="auto"/>
      </w:divBdr>
    </w:div>
    <w:div w:id="149560960">
      <w:marLeft w:val="0"/>
      <w:marRight w:val="0"/>
      <w:marTop w:val="0"/>
      <w:marBottom w:val="0"/>
      <w:divBdr>
        <w:top w:val="none" w:sz="0" w:space="0" w:color="auto"/>
        <w:left w:val="none" w:sz="0" w:space="0" w:color="auto"/>
        <w:bottom w:val="none" w:sz="0" w:space="0" w:color="auto"/>
        <w:right w:val="none" w:sz="0" w:space="0" w:color="auto"/>
      </w:divBdr>
    </w:div>
    <w:div w:id="388460424">
      <w:marLeft w:val="0"/>
      <w:marRight w:val="0"/>
      <w:marTop w:val="0"/>
      <w:marBottom w:val="0"/>
      <w:divBdr>
        <w:top w:val="none" w:sz="0" w:space="0" w:color="auto"/>
        <w:left w:val="none" w:sz="0" w:space="0" w:color="auto"/>
        <w:bottom w:val="none" w:sz="0" w:space="0" w:color="auto"/>
        <w:right w:val="none" w:sz="0" w:space="0" w:color="auto"/>
      </w:divBdr>
    </w:div>
    <w:div w:id="395082885">
      <w:marLeft w:val="0"/>
      <w:marRight w:val="0"/>
      <w:marTop w:val="0"/>
      <w:marBottom w:val="0"/>
      <w:divBdr>
        <w:top w:val="none" w:sz="0" w:space="0" w:color="auto"/>
        <w:left w:val="none" w:sz="0" w:space="0" w:color="auto"/>
        <w:bottom w:val="none" w:sz="0" w:space="0" w:color="auto"/>
        <w:right w:val="none" w:sz="0" w:space="0" w:color="auto"/>
      </w:divBdr>
    </w:div>
    <w:div w:id="546261494">
      <w:marLeft w:val="0"/>
      <w:marRight w:val="0"/>
      <w:marTop w:val="0"/>
      <w:marBottom w:val="0"/>
      <w:divBdr>
        <w:top w:val="none" w:sz="0" w:space="0" w:color="auto"/>
        <w:left w:val="none" w:sz="0" w:space="0" w:color="auto"/>
        <w:bottom w:val="none" w:sz="0" w:space="0" w:color="auto"/>
        <w:right w:val="none" w:sz="0" w:space="0" w:color="auto"/>
      </w:divBdr>
    </w:div>
    <w:div w:id="599604456">
      <w:marLeft w:val="0"/>
      <w:marRight w:val="0"/>
      <w:marTop w:val="0"/>
      <w:marBottom w:val="0"/>
      <w:divBdr>
        <w:top w:val="none" w:sz="0" w:space="0" w:color="auto"/>
        <w:left w:val="none" w:sz="0" w:space="0" w:color="auto"/>
        <w:bottom w:val="none" w:sz="0" w:space="0" w:color="auto"/>
        <w:right w:val="none" w:sz="0" w:space="0" w:color="auto"/>
      </w:divBdr>
    </w:div>
    <w:div w:id="603804397">
      <w:marLeft w:val="0"/>
      <w:marRight w:val="0"/>
      <w:marTop w:val="0"/>
      <w:marBottom w:val="0"/>
      <w:divBdr>
        <w:top w:val="none" w:sz="0" w:space="0" w:color="auto"/>
        <w:left w:val="none" w:sz="0" w:space="0" w:color="auto"/>
        <w:bottom w:val="none" w:sz="0" w:space="0" w:color="auto"/>
        <w:right w:val="none" w:sz="0" w:space="0" w:color="auto"/>
      </w:divBdr>
    </w:div>
    <w:div w:id="646130844">
      <w:marLeft w:val="0"/>
      <w:marRight w:val="0"/>
      <w:marTop w:val="0"/>
      <w:marBottom w:val="0"/>
      <w:divBdr>
        <w:top w:val="none" w:sz="0" w:space="0" w:color="auto"/>
        <w:left w:val="none" w:sz="0" w:space="0" w:color="auto"/>
        <w:bottom w:val="none" w:sz="0" w:space="0" w:color="auto"/>
        <w:right w:val="none" w:sz="0" w:space="0" w:color="auto"/>
      </w:divBdr>
    </w:div>
    <w:div w:id="708144857">
      <w:marLeft w:val="0"/>
      <w:marRight w:val="0"/>
      <w:marTop w:val="0"/>
      <w:marBottom w:val="0"/>
      <w:divBdr>
        <w:top w:val="none" w:sz="0" w:space="0" w:color="auto"/>
        <w:left w:val="none" w:sz="0" w:space="0" w:color="auto"/>
        <w:bottom w:val="none" w:sz="0" w:space="0" w:color="auto"/>
        <w:right w:val="none" w:sz="0" w:space="0" w:color="auto"/>
      </w:divBdr>
    </w:div>
    <w:div w:id="795027828">
      <w:marLeft w:val="0"/>
      <w:marRight w:val="0"/>
      <w:marTop w:val="0"/>
      <w:marBottom w:val="0"/>
      <w:divBdr>
        <w:top w:val="none" w:sz="0" w:space="0" w:color="auto"/>
        <w:left w:val="none" w:sz="0" w:space="0" w:color="auto"/>
        <w:bottom w:val="none" w:sz="0" w:space="0" w:color="auto"/>
        <w:right w:val="none" w:sz="0" w:space="0" w:color="auto"/>
      </w:divBdr>
    </w:div>
    <w:div w:id="801650065">
      <w:marLeft w:val="0"/>
      <w:marRight w:val="0"/>
      <w:marTop w:val="0"/>
      <w:marBottom w:val="0"/>
      <w:divBdr>
        <w:top w:val="none" w:sz="0" w:space="0" w:color="auto"/>
        <w:left w:val="none" w:sz="0" w:space="0" w:color="auto"/>
        <w:bottom w:val="none" w:sz="0" w:space="0" w:color="auto"/>
        <w:right w:val="none" w:sz="0" w:space="0" w:color="auto"/>
      </w:divBdr>
    </w:div>
    <w:div w:id="839658214">
      <w:marLeft w:val="0"/>
      <w:marRight w:val="0"/>
      <w:marTop w:val="0"/>
      <w:marBottom w:val="0"/>
      <w:divBdr>
        <w:top w:val="none" w:sz="0" w:space="0" w:color="auto"/>
        <w:left w:val="none" w:sz="0" w:space="0" w:color="auto"/>
        <w:bottom w:val="none" w:sz="0" w:space="0" w:color="auto"/>
        <w:right w:val="none" w:sz="0" w:space="0" w:color="auto"/>
      </w:divBdr>
    </w:div>
    <w:div w:id="882980870">
      <w:marLeft w:val="0"/>
      <w:marRight w:val="0"/>
      <w:marTop w:val="0"/>
      <w:marBottom w:val="0"/>
      <w:divBdr>
        <w:top w:val="none" w:sz="0" w:space="0" w:color="auto"/>
        <w:left w:val="none" w:sz="0" w:space="0" w:color="auto"/>
        <w:bottom w:val="none" w:sz="0" w:space="0" w:color="auto"/>
        <w:right w:val="none" w:sz="0" w:space="0" w:color="auto"/>
      </w:divBdr>
    </w:div>
    <w:div w:id="1204101717">
      <w:marLeft w:val="0"/>
      <w:marRight w:val="0"/>
      <w:marTop w:val="0"/>
      <w:marBottom w:val="0"/>
      <w:divBdr>
        <w:top w:val="none" w:sz="0" w:space="0" w:color="auto"/>
        <w:left w:val="none" w:sz="0" w:space="0" w:color="auto"/>
        <w:bottom w:val="none" w:sz="0" w:space="0" w:color="auto"/>
        <w:right w:val="none" w:sz="0" w:space="0" w:color="auto"/>
      </w:divBdr>
    </w:div>
    <w:div w:id="1268853949">
      <w:marLeft w:val="0"/>
      <w:marRight w:val="0"/>
      <w:marTop w:val="0"/>
      <w:marBottom w:val="0"/>
      <w:divBdr>
        <w:top w:val="none" w:sz="0" w:space="0" w:color="auto"/>
        <w:left w:val="none" w:sz="0" w:space="0" w:color="auto"/>
        <w:bottom w:val="none" w:sz="0" w:space="0" w:color="auto"/>
        <w:right w:val="none" w:sz="0" w:space="0" w:color="auto"/>
      </w:divBdr>
    </w:div>
    <w:div w:id="1312254401">
      <w:marLeft w:val="0"/>
      <w:marRight w:val="0"/>
      <w:marTop w:val="0"/>
      <w:marBottom w:val="0"/>
      <w:divBdr>
        <w:top w:val="none" w:sz="0" w:space="0" w:color="auto"/>
        <w:left w:val="none" w:sz="0" w:space="0" w:color="auto"/>
        <w:bottom w:val="none" w:sz="0" w:space="0" w:color="auto"/>
        <w:right w:val="none" w:sz="0" w:space="0" w:color="auto"/>
      </w:divBdr>
    </w:div>
    <w:div w:id="1404909579">
      <w:marLeft w:val="0"/>
      <w:marRight w:val="0"/>
      <w:marTop w:val="0"/>
      <w:marBottom w:val="0"/>
      <w:divBdr>
        <w:top w:val="none" w:sz="0" w:space="0" w:color="auto"/>
        <w:left w:val="none" w:sz="0" w:space="0" w:color="auto"/>
        <w:bottom w:val="none" w:sz="0" w:space="0" w:color="auto"/>
        <w:right w:val="none" w:sz="0" w:space="0" w:color="auto"/>
      </w:divBdr>
    </w:div>
    <w:div w:id="1456288459">
      <w:marLeft w:val="0"/>
      <w:marRight w:val="0"/>
      <w:marTop w:val="0"/>
      <w:marBottom w:val="0"/>
      <w:divBdr>
        <w:top w:val="none" w:sz="0" w:space="0" w:color="auto"/>
        <w:left w:val="none" w:sz="0" w:space="0" w:color="auto"/>
        <w:bottom w:val="none" w:sz="0" w:space="0" w:color="auto"/>
        <w:right w:val="none" w:sz="0" w:space="0" w:color="auto"/>
      </w:divBdr>
    </w:div>
    <w:div w:id="1537738759">
      <w:marLeft w:val="0"/>
      <w:marRight w:val="0"/>
      <w:marTop w:val="0"/>
      <w:marBottom w:val="0"/>
      <w:divBdr>
        <w:top w:val="none" w:sz="0" w:space="0" w:color="auto"/>
        <w:left w:val="none" w:sz="0" w:space="0" w:color="auto"/>
        <w:bottom w:val="none" w:sz="0" w:space="0" w:color="auto"/>
        <w:right w:val="none" w:sz="0" w:space="0" w:color="auto"/>
      </w:divBdr>
    </w:div>
    <w:div w:id="1541210184">
      <w:marLeft w:val="0"/>
      <w:marRight w:val="0"/>
      <w:marTop w:val="0"/>
      <w:marBottom w:val="0"/>
      <w:divBdr>
        <w:top w:val="none" w:sz="0" w:space="0" w:color="auto"/>
        <w:left w:val="none" w:sz="0" w:space="0" w:color="auto"/>
        <w:bottom w:val="none" w:sz="0" w:space="0" w:color="auto"/>
        <w:right w:val="none" w:sz="0" w:space="0" w:color="auto"/>
      </w:divBdr>
    </w:div>
    <w:div w:id="1589777062">
      <w:marLeft w:val="0"/>
      <w:marRight w:val="0"/>
      <w:marTop w:val="0"/>
      <w:marBottom w:val="0"/>
      <w:divBdr>
        <w:top w:val="none" w:sz="0" w:space="0" w:color="auto"/>
        <w:left w:val="none" w:sz="0" w:space="0" w:color="auto"/>
        <w:bottom w:val="none" w:sz="0" w:space="0" w:color="auto"/>
        <w:right w:val="none" w:sz="0" w:space="0" w:color="auto"/>
      </w:divBdr>
    </w:div>
    <w:div w:id="1664432456">
      <w:marLeft w:val="0"/>
      <w:marRight w:val="0"/>
      <w:marTop w:val="0"/>
      <w:marBottom w:val="0"/>
      <w:divBdr>
        <w:top w:val="none" w:sz="0" w:space="0" w:color="auto"/>
        <w:left w:val="none" w:sz="0" w:space="0" w:color="auto"/>
        <w:bottom w:val="none" w:sz="0" w:space="0" w:color="auto"/>
        <w:right w:val="none" w:sz="0" w:space="0" w:color="auto"/>
      </w:divBdr>
    </w:div>
    <w:div w:id="1736931967">
      <w:marLeft w:val="0"/>
      <w:marRight w:val="0"/>
      <w:marTop w:val="0"/>
      <w:marBottom w:val="0"/>
      <w:divBdr>
        <w:top w:val="none" w:sz="0" w:space="0" w:color="auto"/>
        <w:left w:val="none" w:sz="0" w:space="0" w:color="auto"/>
        <w:bottom w:val="none" w:sz="0" w:space="0" w:color="auto"/>
        <w:right w:val="none" w:sz="0" w:space="0" w:color="auto"/>
      </w:divBdr>
    </w:div>
    <w:div w:id="1776828596">
      <w:marLeft w:val="0"/>
      <w:marRight w:val="0"/>
      <w:marTop w:val="0"/>
      <w:marBottom w:val="0"/>
      <w:divBdr>
        <w:top w:val="none" w:sz="0" w:space="0" w:color="auto"/>
        <w:left w:val="none" w:sz="0" w:space="0" w:color="auto"/>
        <w:bottom w:val="none" w:sz="0" w:space="0" w:color="auto"/>
        <w:right w:val="none" w:sz="0" w:space="0" w:color="auto"/>
      </w:divBdr>
    </w:div>
    <w:div w:id="1803503644">
      <w:marLeft w:val="0"/>
      <w:marRight w:val="0"/>
      <w:marTop w:val="0"/>
      <w:marBottom w:val="0"/>
      <w:divBdr>
        <w:top w:val="none" w:sz="0" w:space="0" w:color="auto"/>
        <w:left w:val="none" w:sz="0" w:space="0" w:color="auto"/>
        <w:bottom w:val="none" w:sz="0" w:space="0" w:color="auto"/>
        <w:right w:val="none" w:sz="0" w:space="0" w:color="auto"/>
      </w:divBdr>
    </w:div>
    <w:div w:id="1865051324">
      <w:marLeft w:val="0"/>
      <w:marRight w:val="0"/>
      <w:marTop w:val="0"/>
      <w:marBottom w:val="0"/>
      <w:divBdr>
        <w:top w:val="none" w:sz="0" w:space="0" w:color="auto"/>
        <w:left w:val="none" w:sz="0" w:space="0" w:color="auto"/>
        <w:bottom w:val="none" w:sz="0" w:space="0" w:color="auto"/>
        <w:right w:val="none" w:sz="0" w:space="0" w:color="auto"/>
      </w:divBdr>
    </w:div>
    <w:div w:id="1877963367">
      <w:marLeft w:val="0"/>
      <w:marRight w:val="0"/>
      <w:marTop w:val="0"/>
      <w:marBottom w:val="0"/>
      <w:divBdr>
        <w:top w:val="none" w:sz="0" w:space="0" w:color="auto"/>
        <w:left w:val="none" w:sz="0" w:space="0" w:color="auto"/>
        <w:bottom w:val="none" w:sz="0" w:space="0" w:color="auto"/>
        <w:right w:val="none" w:sz="0" w:space="0" w:color="auto"/>
      </w:divBdr>
    </w:div>
    <w:div w:id="1888711994">
      <w:marLeft w:val="0"/>
      <w:marRight w:val="0"/>
      <w:marTop w:val="0"/>
      <w:marBottom w:val="0"/>
      <w:divBdr>
        <w:top w:val="none" w:sz="0" w:space="0" w:color="auto"/>
        <w:left w:val="none" w:sz="0" w:space="0" w:color="auto"/>
        <w:bottom w:val="none" w:sz="0" w:space="0" w:color="auto"/>
        <w:right w:val="none" w:sz="0" w:space="0" w:color="auto"/>
      </w:divBdr>
    </w:div>
    <w:div w:id="1891527782">
      <w:marLeft w:val="0"/>
      <w:marRight w:val="0"/>
      <w:marTop w:val="0"/>
      <w:marBottom w:val="0"/>
      <w:divBdr>
        <w:top w:val="none" w:sz="0" w:space="0" w:color="auto"/>
        <w:left w:val="none" w:sz="0" w:space="0" w:color="auto"/>
        <w:bottom w:val="none" w:sz="0" w:space="0" w:color="auto"/>
        <w:right w:val="none" w:sz="0" w:space="0" w:color="auto"/>
      </w:divBdr>
    </w:div>
    <w:div w:id="1911034833">
      <w:marLeft w:val="0"/>
      <w:marRight w:val="0"/>
      <w:marTop w:val="0"/>
      <w:marBottom w:val="0"/>
      <w:divBdr>
        <w:top w:val="none" w:sz="0" w:space="0" w:color="auto"/>
        <w:left w:val="none" w:sz="0" w:space="0" w:color="auto"/>
        <w:bottom w:val="none" w:sz="0" w:space="0" w:color="auto"/>
        <w:right w:val="none" w:sz="0" w:space="0" w:color="auto"/>
      </w:divBdr>
    </w:div>
    <w:div w:id="1927957755">
      <w:marLeft w:val="0"/>
      <w:marRight w:val="0"/>
      <w:marTop w:val="0"/>
      <w:marBottom w:val="0"/>
      <w:divBdr>
        <w:top w:val="none" w:sz="0" w:space="0" w:color="auto"/>
        <w:left w:val="none" w:sz="0" w:space="0" w:color="auto"/>
        <w:bottom w:val="none" w:sz="0" w:space="0" w:color="auto"/>
        <w:right w:val="none" w:sz="0" w:space="0" w:color="auto"/>
      </w:divBdr>
    </w:div>
    <w:div w:id="193358282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ma.europa.eu" TargetMode="External"/><Relationship Id="rId5" Type="http://schemas.openxmlformats.org/officeDocument/2006/relationships/hyperlink" Target="http://www.ema.europa.eu/docs/en_GB/document_library/Template_or_form/2013/03/WC500139752.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6934</Words>
  <Characters>38902</Characters>
  <Application>Microsoft Office Word</Application>
  <DocSecurity>0</DocSecurity>
  <Lines>1556</Lines>
  <Paragraphs>975</Paragraphs>
  <ScaleCrop>false</ScaleCrop>
  <Company/>
  <LinksUpToDate>false</LinksUpToDate>
  <CharactersWithSpaces>44861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
  <dc:creator>Kåre Hyttel</dc:creator>
  <cp:keywords/>
  <dc:description/>
  <cp:lastModifiedBy>Kåre Hyttel</cp:lastModifiedBy>
  <cp:revision>2</cp:revision>
  <dcterms:created xsi:type="dcterms:W3CDTF">2026-10-05T20:34:00Z</dcterms:created>
  <dcterms:modified xsi:type="dcterms:W3CDTF">2026-10-05T20:34:00Z</dcterms:modified>
</cp:coreProperties>
</file>