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5 µg</w:t>
      </w:r>
      <w:r>
        <w:noBreakHyphen/>
      </w:r>
      <w:r>
        <w:t xml:space="preserve">once</w:t>
      </w:r>
      <w:r>
        <w:softHyphen/>
      </w:r>
      <w:r>
        <w:t xml:space="preserve">daily</w:t>
      </w:r>
    </w:p>
    <w:p>
      <w:r>
        <w:fldChar w:fldCharType="begin"/>
      </w:r>
      <w:r>
        <w:instrText xml:space="preserve"> STYLEREF 1 </w:instrText>
      </w:r>
      <w:r>
        <w:fldChar w:fldCharType="separate"/>
      </w:r>
      <w:r>
        <w:t xml:space="preserve">5 µg-oncedaily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"/>
    </w:lvl>
    <w:lvl w:ilvl="1">
      <w:start w:val="1"/>
      <w:numFmt w:val="decimal"/>
      <w:lvlText w:val="%1.%2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numPr>
        <w:numId w:val="1"/>
      </w:numPr>
      <w:outlineLvl w:val="0"/>
    </w:pPr>
  </w:style>
  <w:style w:type="paragraph" w:styleId="Heading2">
    <w:name w:val="heading 2"/>
    <w:pPr>
      <w:numPr>
        <w:ilvl w:val="1"/>
        <w:numId w:val="1"/>
      </w:num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