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LIQUID EMISSIONS REVENUE COLLECTION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AED6F1"/>
                <w:sz w:val="36"/>
                <w:szCs w:val="36"/>
              </w:rPr>
              <w:t xml:space="preserve">Prisma Database Schema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2"/>
                <w:szCs w:val="22"/>
              </w:rPr>
              <w:t xml:space="preserve">DDD Bounded Contexts  ·  Aggregate Mapping  ·  Invariant Annotations</w:t>
            </w:r>
          </w:p>
        </w:tc>
      </w:tr>
    </w:tbl>
    <w:p>
      <w:pPr>
        <w:spacing w:before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Artefact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Prisma Schema — packages/database/prisma/schema.prisma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15 (Railway managed)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ORM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Prisma 5.x with prisma-client-js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Contexts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Identity · Emissions · Payments · Settlement · Reporting · Notifications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Derives From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Liquid Emissions Domain Model v1.0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1. Schema Design Principles</w:t>
            </w:r>
          </w:p>
        </w:tc>
      </w:tr>
    </w:tbl>
    <w:p>
      <w:pPr>
        <w:spacing w:before="180"/>
      </w:pP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database schema is a direct projection of the domain model. Every design decision below enforces DDD boundaries at the persistence layer.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Context table prefixes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Every table is prefixed with its bounded context: identity_, emissions_, payments_, settlement_, reporting_, notifications_. Prevents naming collisions and makes context ownership visible at the DB level.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 cross-context FK joins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Foreign keys only exist within a bounded context. Cross-context references (e.g. organisationId in payments_orders) are plain String fields — no FK constraints. Context-to-context consistency is maintained through domain events, not DB constraints.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Money as minor units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monetary amounts stored as Int in minor currency units (e.g. 45000 = NGN 450.00 or USD 450.00). Eliminates floating-point precision bugs. A companion Currency enum field is always present.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Append-only ledger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settlement_ledger_entries has no updatedAt field and no application-layer update/delete path. Enforces Invariant #5. Balance is derived from entries, never stored as mutable state alone.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Immutable gateway responses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payments_gateway_responses stores rawPayload as Json and has no updatedAt. Once written, gateway responses are never mutated.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Unique constraints = invariants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invariants enforced at DB level where possible: unique TransactionReference (Inv #3), unique vessel+port+date assessment (Inv #8), unique wallet per organisation.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Denormalised snapshots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Receipts and audit logs store denormalised snapshot data (Json) to preserve the state at time of action. Avoids broken references if upstream data changes.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Basis points for splits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SplitRule.sharesBasisPts uses Integer basis points (10000 = 100%). Avoids floating-point in split calculations. Application layer validates sum = 10000 (Invariant #6).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2. Full Prisma Schema</w:t>
            </w:r>
          </w:p>
        </w:tc>
      </w:tr>
    </w:tbl>
    <w:p>
      <w:pPr>
        <w:spacing w:before="180"/>
      </w:pP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complete schema is reproduced below, annotated with invariant references and design notes. Copy the full content to packages/database/prisma/schema.prisma.</w:t>
      </w:r>
    </w:p>
    <w:p>
      <w:pPr>
        <w:spacing w:before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2.0 Generator &amp; Datasource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2E86C1" w:sz="12"/>
              <w:bottom w:val="single" w:color="D5D8DC" w:sz="1"/>
              <w:right w:val="single" w:color="D5D8DC" w:sz="1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// 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// Liquid Emissions Revenue Collection — Prisma Schema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// packages/database/prisma/schema.prisma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// Organised by Bounded Context (DDD Modular Monolith)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// 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generator client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provider = "prisma-client-js"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datasource db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provider = "postgresql"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url      = env("DATABASE_URL")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2E86C1" w:sz="12"/>
              <w:bottom w:val="single" w:color="D5D8DC" w:sz="1"/>
              <w:right w:val="single" w:color="D5D8DC" w:sz="1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// ── SHARED KERNEL ────────────────────────────────────────────────────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// UserId and OrganisationId are UUIDs generated by the Identity context.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// All other contexts reference them as plain String fields — never as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// foreign keys that cross context boundaries at the DB layer.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// Money is represented as (amountMinorUnits: Int, currency: Currency)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// across all contexts to avoid floating-point precision issues.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2.1  Identity Bounded Context  —  identity_*</w:t>
            </w:r>
          </w:p>
        </w:tc>
      </w:tr>
    </w:tbl>
    <w:p>
      <w:pPr>
        <w:spacing w:before="120"/>
      </w:pP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Manages users, organisations, credentials, and role-based access. All other contexts reference UserId and OrganisationId as plain strings derived from this context.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2E86C1" w:sz="12"/>
              <w:bottom w:val="single" w:color="D5D8DC" w:sz="1"/>
              <w:right w:val="single" w:color="D5D8DC" w:sz="1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// ── IDENTITY BOUNDED CONTEXT 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Organisation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         String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@id @default(uuid())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 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type        OrgType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email       String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@unique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phone       String?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address     String?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isActive    Boolean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@default(true)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createdAt   DateTime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@default(now())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updatedAt   DateTime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@updatedAt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users       User[]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@@map("identity_organisations")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User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            String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@id @default(uuid())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organisationId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email          String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@unique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firstName     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lastName      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role           UserRole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isActive       Boolean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@default(true)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twoFactorEnabled Boolean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@default(false)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createdAt      DateTime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@default(now())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updatedAt      DateTime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@updatedAt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organisation   Organisation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@relation(fields: [organisationId], references: [id])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credential     Credential?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@@index([organisationId])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@@index([email])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@@map("identity_users")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Credential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           String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@id @default(uuid())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userId        String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@unique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passwordHash 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otpSecret     String?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twoFactorSecret String?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resetToken    String?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resetTokenExp DateTime?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lastLoginAt   DateTime?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createdAt     DateTime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@default(now())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updatedAt     DateTime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@updatedAt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          User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@relation(fields: [userId], references: [id], onDelete: Cascade)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@@map("identity_credentials")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enum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OrgType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SHIPPING_COMPANY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PORT_AUTHORITY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GOVERNMENT_AGENCY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REGULATORY_BODY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enum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UserRole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SUPER_ADMIN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AGENCY_ADMIN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OPERATOR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AUDITOR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DEVELOPER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2.2  Emissions Bounded Context  —  emissions_*</w:t>
            </w:r>
          </w:p>
        </w:tc>
      </w:tr>
    </w:tbl>
    <w:p>
      <w:pPr>
        <w:spacing w:before="120"/>
      </w:pP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Owns vessel profiles, fee schedules, fee rules, and emission assessments. The FeeCalculationService (domain service) reads from this context to determine what a vessel owes. The result becomes the basis for a PaymentOrder in the Payments context.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2E86C1" w:sz="12"/>
              <w:bottom w:val="single" w:color="D5D8DC" w:sz="1"/>
              <w:right w:val="single" w:color="D5D8DC" w:sz="1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// ── EMISSIONS BOUNDED CONTEXT 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VesselEmissionProfile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              String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@id @default(uuid())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imoNumber        String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@unique   // IMO vessel identifier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      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vesselClass      VesselClass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grossTonnage     Int                // GT value — whole number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organisationId   String             // FK to Identity (cross-context ref)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complianceStatus ComplianceStatus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@default(PENDING_ASSESSMENT)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createdAt        DateTime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@default(now())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updatedAt        DateTime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@updatedAt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assessments      EmissionAssessment[]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@@index([imoNumber])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@@index([organisationId])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@@map("emissions_vessel_profiles")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EmissionAssessment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             String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@id @default(uuid())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vesselProfileId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feeScheduleId  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portCode        String    // Nigerian port of entry (e.g. "NGAPP", "NGTIN")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portVisitDate   DateTime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  // Money value object: amount in minor units + currency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feeAmountMinor  Int       // e.g. 45000 = USD 450.00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feeCurrency     Currency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status          AssessmentStatus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@default(PENDING)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paymentOrderId  String?           // Set when payment is initiated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createdAt       DateTime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@default(now())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updatedAt       DateTime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@updatedAt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vesselProfile   VesselEmissionProfile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@relation(fields: [vesselProfileId], references: [id])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feeSchedule     FeeSchedule       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@relation(fields: [feeScheduleId], references: [id])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@@unique([vesselProfileId, portCode, portVisitDate]) // Invariant #8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@@index([vesselProfileId])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@@index([status])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@@map("emissions_assessments")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FeeSchedule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         String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@id @default(uuid())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 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description String?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effectiveFrom DateTime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effectiveTo   DateTime?  // null = currently active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isActive    Boolean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@default(true)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createdBy   String    // UserId ref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createdAt   DateTime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@default(now())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updatedAt   DateTime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@updatedAt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rules       FeeRule[]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assessments EmissionAssessment[]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@@index([isActive])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@@map("emissions_fee_schedules")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FeeRule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             String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@id @default(uuid())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feeScheduleId  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vesselClass     VesselClass?  // null = applies to all classes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minTonnage      Int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maxTonnage      Int?          // null = no upper bound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feeAmountMinor  Int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feeCurrency     Currency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description     String?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feeSchedule     FeeSchedule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@relation(fields: [feeScheduleId], references: [id], onDelete: Cascade)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@@index([feeScheduleId])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@@map("emissions_fee_rules")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enum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VesselClass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TANKER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BULK_CARRIER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CONTAINER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GENERAL_CARGO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PASSENGER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OTHER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enum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ComplianceStatus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COMPLIANT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NON_COMPLIANT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PENDING_ASSESSMENT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enum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AssessmentStatus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PENDING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INVOICED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SETTLED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2.3  Payments Bounded Context  —  payments_*</w:t>
            </w:r>
          </w:p>
        </w:tc>
      </w:tr>
    </w:tbl>
    <w:p>
      <w:pPr>
        <w:spacing w:before="120"/>
      </w:pP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core revenue context. PaymentOrder is the central aggregate root. Tracks the full lifecycle from creation through gateway processing to completion. GatewayResponses are stored immutably. Receipts are point-in-time snapshots.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2E86C1" w:sz="12"/>
              <w:bottom w:val="single" w:color="D5D8DC" w:sz="1"/>
              <w:right w:val="single" w:color="D5D8DC" w:sz="1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// ── PAYMENTS BOUNDED CONTEXT 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PaymentOrder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                  String    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@id @default(uuid())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reference            String    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@unique  // TransactionReference VO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organisationId       String        // Payer org (cross-context ref)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payerId              String?       // UserId — null for guest payments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payerEmail           String        // Always captured for receipts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payerName           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assessmentId         String?   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@unique  // Links back to Emissions context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vesselImoNumber      String        // Denormalised for reporting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vesselName          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  // Money: fee amount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amountMinor          Int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currency             Currency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  // Money: amount actually charged (may differ due to FX)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chargedAmountMinor   Int?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chargedCurrency      Currency?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status               PaymentStatus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@default(PENDING)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isGuestPayment       Boolean   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@default(false)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idempotencyKey       String    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@unique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metadata             Json?         // Flexible: port data, vessel extras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createdAt            DateTime  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@default(now())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updatedAt            DateTime  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@updatedAt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completedAt          DateTime?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attempts             PaymentAttempt[]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receipt              Receipt?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@@index([organisationId])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@@index([status])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@@index([payerEmail])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@@index([vesselImoNumber])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@@index([createdAt])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@@map("payments_orders")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PaymentAttempt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             String      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@id @default(uuid())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paymentOrderId 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gateway         GatewayProvider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gatewayRef      String?         // Gateway's own transaction ref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status          AttemptStatus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@default(INITIATED)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initiatedAt     DateTime    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@default(now())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resolvedAt      DateTime?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paymentOrder    PaymentOrder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@relation(fields: [paymentOrderId], references: [id])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gatewayResponse GatewayResponse?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@@index([paymentOrderId])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@@index([gatewayRef])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@@map("payments_attempts")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GatewayResponse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             String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@id @default(uuid())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attemptId       String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@unique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rawPayload      Json     // Full gateway webhook/response stored immutably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gatewayStatus   String   // Gateway's own status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gatewayCode     String?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receivedAt      DateTime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@default(now())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attempt         PaymentAttempt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@relation(fields: [attemptId], references: [id])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@@map("payments_gateway_responses")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Receipt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            String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@id @default(uuid())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paymentOrderId String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@unique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receiptNumber  String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@unique  // Human-readable: RCP-2026-000001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issuedAt       DateTime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@default(now())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  // Snapshot of key data at time of payment (immutable)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snapshotData   Json     // Full receipt payload: vessel, payer, amounts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paymentOrder   PaymentOrder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@relation(fields: [paymentOrderId], references: [id])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@@map("payments_receipts")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enum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PaymentStatus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PENDING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PROCESSING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COMPLETED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FAILED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REFUNDED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enum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AttemptStatus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INITIATED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PENDING_GATEWAY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SUCCESS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FAILED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enum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GatewayProvider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PAYSTACK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FLUTTERWAVE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enum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Currency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NGN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400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2.4  Settlement Bounded Context  —  settlement_*</w:t>
            </w:r>
          </w:p>
        </w:tc>
      </w:tr>
    </w:tbl>
    <w:p>
      <w:pPr>
        <w:spacing w:before="120"/>
      </w:pP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Manages virtual wallets, escrow holds, ledger entries, and settlement batches. The most financially sensitive context — wallets enforce the non-negative balance invariant and the ledger is strictly append-only.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2E86C1" w:sz="12"/>
              <w:bottom w:val="single" w:color="D5D8DC" w:sz="1"/>
              <w:right w:val="single" w:color="D5D8DC" w:sz="1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// ── SETTLEMENT BOUNDED CONTEXT 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Wallet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              String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@id @default(uuid())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organisationId   String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@unique  // One wallet per organisation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currency         Currency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  // Balances in minor units (Invariant #4: availableMinor never &lt; 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availableMinor   Int  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escrowMinor      Int  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totalCreditedMinor Int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@default(0)  // Lifetime credits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totalDebitedMinor  Int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@default(0)  // Lifetime debits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isActive         Boolean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@default(true)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createdAt        DateTime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@default(now())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updatedAt        DateTime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@updatedAt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ledgerEntries    LedgerEntry[]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escrowHolds      EscrowHold[]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settlementLines  SettlementLine[]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splitRules       SplitRule[]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@@index([organisationId])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@@map("settlement_wallets")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LedgerEntry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             String  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@id @default(uuid())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walletId       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type            LedgerType  // CREDIT | DEBIT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amountMinor     Int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currency        Currency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balanceAfterMinor Int        // Running balance snapshot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referenceType   String       // "PAYMENT_COMPLETED" | "SETTLEMENT_DISPATCHED" etc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referenceId     String       // ID of the source event/entity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description     String?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  // Append-only: no updatedAt — Invariant #5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createdAt       DateTime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@default(now())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wallet          Wallet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@relation(fields: [walletId], references: [id])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@@index([walletId])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@@index([referenceId])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@@index([createdAt])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@@map("settlement_ledger_entries")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EscrowHold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             String  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@id @default(uuid())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walletId       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paymentOrderId  String      // Source payment reference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amountMinor     Int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currency        Currency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status          EscrowStatus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@default(HELD)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heldAt          DateTime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@default(now())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releasedAt      DateTime?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releaseReason   String?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wallet          Wallet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@relation(fields: [walletId], references: [id])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@@index([walletId])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@@index([paymentOrderId])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@@map("settlement_escrow_holds")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SettlementBatch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             String       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@id @default(uuid())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batchReference  String       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@unique  // BATCH-2026-03-05-001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scheduledFor    DateTime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processedAt     DateTime?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status          SettlementStatus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@default(SCHEDULED)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totalAmountMinor Int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currency        Currency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lineCount       Int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createdAt       DateTime     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@default(now())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updatedAt       DateTime     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@updatedAt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lines           SettlementLine[]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@@index([status])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@@index([scheduledFor])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@@map("settlement_batches")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SettlementLine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              String       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@id @default(uuid())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batchId         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walletId        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organisationId   String           // Denormalised for reporting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bankAccountRef   String           // Encrypted bank account identifier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amountMinor      Int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currency         Currency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status           SettlementStatus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@default(SCHEDULED)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gatewayRef       String?          // Bank transfer reference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processedAt      DateTime?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failureReason    String?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batch            SettlementBatch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@relation(fields: [batchId], references: [id])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wallet           Wallet      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@relation(fields: [walletId], references: [id])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@@index([batchId])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@@index([walletId])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@@map("settlement_lines")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SplitRule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             String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@id @default(uuid())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walletId        String   // Destination wallet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          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  // Percentage in basis points: 10000 = 100% (Invariant #6: sum must = 10000)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sharesBasisPts  Int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isActive        Boolean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@default(true)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priority        Int  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createdAt       DateTime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@default(now())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updatedAt       DateTime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@updatedAt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wallet          Wallet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@relation(fields: [walletId], references: [id])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@@index([walletId])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@@map("settlement_split_rules")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enum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LedgerType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CREDIT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DEBIT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enum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EscrowStatus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HELD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RELEASED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REVERSED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enum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SettlementStatus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SCHEDULED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PROCESSING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COMPLETED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FAILED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2.5  Reporting Bounded Context  —  reporting_*</w:t>
            </w:r>
          </w:p>
        </w:tc>
      </w:tr>
    </w:tbl>
    <w:p>
      <w:pPr>
        <w:spacing w:before="120"/>
      </w:pP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Read-side context. AuditLog is written by an application-layer interceptor on every state change across all contexts. DomainEvent acts as an outbox table — events are written synchronously with the business transaction and dispatched asynchronously by a background worker.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2E86C1" w:sz="12"/>
              <w:bottom w:val="single" w:color="D5D8DC" w:sz="1"/>
              <w:right w:val="single" w:color="D5D8DC" w:sz="1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// ── REPORTING BOUNDED CONTEXT 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// Read models — projections populated from domain events.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// Never written to by the core domain contexts directly.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AuditLog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          String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@id @default(uuid())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actorId      String   // UserId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actorEmail   String   // Denormalised snapshot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actorRole    UserRole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action       String   // e.g. "payment.order.created"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resourceType String   // e.g. "PaymentOrder"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resourceId  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ipAddress    String?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userAgent    String?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metadata     Json?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occurredAt   DateTime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@default(now())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@@index([actorId])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@@index([resourceId])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@@index([occurredAt])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@@index([action])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@@map("reporting_audit_logs")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DomainEvent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         String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@id @default(uuid())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eventType   String   // e.g. "PaymentCompleted"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aggregateId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payload     Json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published   Boolean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@default(false)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publishedAt DateTime?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occurredAt  DateTime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@default(now())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@@index([eventType])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@@index([aggregateId])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@@index([published])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@@map("reporting_domain_events")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2.6  Notifications Bounded Context  —  notifications_*</w:t>
            </w:r>
          </w:p>
        </w:tc>
      </w:tr>
    </w:tbl>
    <w:p>
      <w:pPr>
        <w:spacing w:before="120"/>
      </w:pP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Persists a log of all dispatched notifications for retry, audit, and deduplication purposes. Populated by the BullMQ notification worker that consumes domain events.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2E86C1" w:sz="12"/>
              <w:bottom w:val="single" w:color="D5D8DC" w:sz="1"/>
              <w:right w:val="single" w:color="D5D8DC" w:sz="1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// ── NOTIFICATIONS BOUNDED CONTEXT 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model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NotificationLog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          String         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@id @default(uuid())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recipientId  String?            // UserId — null for guest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recipientEmail String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channel      NotificationChannel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type         String             // e.g. "PAYMENT_RECEIPT", "SETTLEMENT_ALERT"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subject      String?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status       NotificationStatus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@default(PENDING)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sentAt       DateTime?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failureReason String?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sourceEventId String?           // DomainEvent.id that triggered this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createdAt    DateTime         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@default(now())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@@index([recipientEmail])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@@index([status])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@@index([createdAt])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@@map("notifications_log")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enum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NotificationChannel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EMAIL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SMS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IN_APP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enum 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NotificationStatus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PENDING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FAILED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3. Key Design Decisions — Field Annotations</w:t>
            </w:r>
          </w:p>
        </w:tc>
      </w:tr>
    </w:tbl>
    <w:p>
      <w:pPr>
        <w:spacing w:before="1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Money Representation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monetary values follow this two-field pattern across every context: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2E86C1" w:sz="12"/>
              <w:bottom w:val="single" w:color="D5D8DC" w:sz="1"/>
              <w:right w:val="single" w:color="D5D8DC" w:sz="1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// Always paired: amount in minor units + currency enum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amountMinor   Int       // e.g. 45000 = 450.00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currency      Currency  // NGN | USD</w:t>
            </w:r>
          </w:p>
        </w:tc>
      </w:tr>
    </w:tbl>
    <w:p>
      <w:pPr>
        <w:spacing w:before="120"/>
      </w:pP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domain layer, a Money value object wraps both fields. In TypeScript: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2E86C1" w:sz="12"/>
              <w:bottom w:val="single" w:color="D5D8DC" w:sz="1"/>
              <w:right w:val="single" w:color="D5D8DC" w:sz="1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// packages/shared-kernel/src/money.ts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class Money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constructor(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readonly amountMinor: number,   // integer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readonly currency: Currency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(!Number.isInteger(amountMinor) || amountMinor &lt; 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throw new InvalidMoneyError(amountMinor);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toDecimal(): number { return this.amountMinor / 100;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add(other: Money): Money { ...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equals(other: Money): boolean { ...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Cross-Context References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 context needs to reference an entity from another context, it stores only the ID as a plain string — no Prisma relation, no foreign key: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2E86C1" w:sz="12"/>
              <w:bottom w:val="single" w:color="D5D8DC" w:sz="1"/>
              <w:right w:val="single" w:color="D5D8DC" w:sz="1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// payments_orders — references Identity context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organisationId  String   // OrgId — no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@relation, no FK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payerId         String?  // UserId — no 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@relation, no FK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// If you need org details in a payment query: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// → Call Identity application service OR join at query time in a reporting projection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// → Never add a Prisma relation across context boundaries</w:t>
            </w:r>
          </w:p>
        </w:tc>
      </w:tr>
    </w:tbl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Outbox Pattern — DomainEvent Table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reporting_domain_events table implements the Transactional Outbox pattern, ensuring no event is lost if the message broker is unavailable: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2E86C1" w:sz="12"/>
              <w:bottom w:val="single" w:color="D5D8DC" w:sz="1"/>
              <w:right w:val="single" w:color="D5D8DC" w:sz="1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// 1. Within the same DB transaction as the business operation: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await prisma.$transaction([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prisma.paymentOrder.update({ ... }),           // business write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prisma.domainEvent.create({                    // outbox write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data: { eventType: 'PaymentCompleted', ...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// 2. Background worker polls for published = false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i/>
                <w:iCs/>
                <w:color w:val="27AE60"/>
                <w:sz w:val="18"/>
                <w:szCs w:val="18"/>
              </w:rPr>
              <w:t xml:space="preserve">//    and dispatches to BullMQ, then sets published = true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4. Index Strategy</w:t>
            </w:r>
          </w:p>
        </w:tc>
      </w:tr>
    </w:tbl>
    <w:p>
      <w:pPr>
        <w:spacing w:before="180"/>
      </w:pP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Indices are chosen for the access patterns defined by user personas in the PRD — not added speculatively. Review after first load test.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Field(s)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Pattern Served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payments_orders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dashboard: filter by PENDING or FAILED payments.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payments_orders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organisationId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Shipping company: view own payment history.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payments_orders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vesselImoNumber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 authority: look up all payments for a specific vessel.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payments_orders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createdAt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Reporting: time-range queries for daily/monthly revenue.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settlement_ledger_entries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walletId, createdAt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Wallet statement: paginated ledger for an organisation.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settlement_batches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status, scheduledFor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Settlement worker: find next SCHEDULED batch to process.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emissions_assessments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vesselProfileId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Compliance dashboard: all assessments for a given vessel.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reporting_audit_logs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occurredAt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Auditor: time-range queries across all system actions.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reporting_domain_events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published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Outbox worker: poll for unpublished events to dispatch.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5. Migration &amp; Seeding Notes</w:t>
            </w:r>
          </w:p>
        </w:tc>
      </w:tr>
    </w:tbl>
    <w:p>
      <w:pPr>
        <w:spacing w:before="1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Initial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2E86C1" w:sz="12"/>
              <w:bottom w:val="single" w:color="D5D8DC" w:sz="1"/>
              <w:right w:val="single" w:color="D5D8DC" w:sz="1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From packages/database/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npx prisma migrate dev --name init_all_contexts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This generates SQL for all 6 contexts in one migration.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Review the generated SQL before applying to staging/production.</w:t>
            </w:r>
          </w:p>
        </w:tc>
      </w:tr>
    </w:tbl>
    <w:p>
      <w:pPr>
        <w:spacing w:before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Required Seed Data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seed data must exist before the application can accept a payment: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 least one active FeeSchedule with at least one FeeRule covering the vessel tonnage bands in use.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SUPER_ADMIN Organisation and User account for initial platform setup.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SplitRule records configured for each recipient Organisation wallet.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2E86C1" w:sz="12"/>
              <w:bottom w:val="single" w:color="D5D8DC" w:sz="1"/>
              <w:right w:val="single" w:color="D5D8DC" w:sz="1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Run seed script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npx prisma db seed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Seed file: packages/database/prisma/seed.ts</w:t>
            </w:r>
          </w:p>
        </w:tc>
      </w:tr>
    </w:tbl>
    <w:p>
      <w:pPr>
        <w:spacing w:before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2E86C1" w:sz="12"/>
              <w:bottom w:val="single" w:color="D5D8DC" w:sz="1"/>
              <w:right w:val="single" w:color="D5D8DC" w:sz="1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.env (Railway injects these automatically)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DATABASE_URL="postgresql://user:pass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@host:5432/liquid_emissions?schema=public"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REDIS_URL="redis://default:pass</w:t>
            </w:r>
            <w:r>
              <w:rPr>
                <w:rFonts w:ascii="Courier New" w:cs="Courier New" w:eastAsia="Courier New" w:hAnsi="Courier New"/>
                <w:color w:val="A04000"/>
                <w:sz w:val="18"/>
                <w:szCs w:val="18"/>
              </w:rPr>
              <w:t xml:space="preserve">@host:6379"</w:t>
            </w:r>
          </w:p>
        </w:tc>
      </w:tr>
    </w:tbl>
    <w:p>
      <w:pPr>
        <w:spacing w:before="300"/>
      </w:pPr>
    </w:p>
    <w:p>
      <w:pPr>
        <w:pBdr>
          <w:bottom w:val="single" w:color="D5D8DC" w:sz="4"/>
        </w:pBdr>
        <w:spacing w:before="200" w:after="200"/>
      </w:pPr>
    </w:p>
    <w:p>
      <w:pPr>
        <w:spacing w:before="12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Next Artefact: Software Requirements Specification (SRS)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SRS will formalise functional and non-functional requirements, use cases, and acceptance criteria derived from the PRD — structured for handoff to developers and Claude Code prompts.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4"/>
      </w:pBdr>
      <w:spacing w:before="100"/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  |  packages/database/prisma/schema.prisma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/>
      </w:pBdr>
      <w:spacing w:after="100"/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Liquid Emissions Revenue Collection</w:t>
    </w:r>
    <w:r>
      <w:rPr>
        <w:rFonts w:ascii="Arial" w:cs="Arial" w:eastAsia="Arial" w:hAnsi="Arial"/>
        <w:color w:val="888888"/>
        <w:sz w:val="18"/>
        <w:szCs w:val="18"/>
      </w:rPr>
      <w:t xml:space="preserve">   |   Prisma Database Schema — DDD Bounded Contexts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2026-03-05T14:22:26.993Z</dcterms:created>
  <dcterms:modified xsi:type="dcterms:W3CDTF">2026-03-05T14:22:26.995Z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