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40"/>
      </w:pPr>
    </w:p>
    <w:p>
      <w:pPr>
        <w:spacing w:after="120"/>
        <w:jc w:val="center"/>
      </w:pPr>
      <w:r>
        <w:rPr>
          <w:b/>
          <w:color w:val="0D1B3E"/>
          <w:sz w:val="56"/>
        </w:rPr>
        <w:t>Liquid Emissions Revenue Collection</w:t>
      </w:r>
    </w:p>
    <w:p>
      <w:pPr>
        <w:spacing w:after="120"/>
        <w:jc w:val="center"/>
      </w:pPr>
      <w:r>
        <w:rPr>
          <w:b/>
          <w:color w:val="008B8B"/>
          <w:sz w:val="40"/>
        </w:rPr>
        <w:t>Software Requirements Specification</w:t>
      </w:r>
    </w:p>
    <w:p>
      <w:pPr>
        <w:spacing w:after="120"/>
        <w:jc w:val="center"/>
      </w:pPr>
      <w:r>
        <w:rPr>
          <w:b w:val="0"/>
          <w:color w:val="444444"/>
          <w:sz w:val="24"/>
        </w:rPr>
        <w:t>SRS — Version 1.0</w:t>
      </w:r>
    </w:p>
    <w:p>
      <w:pPr>
        <w:spacing w:after="120"/>
        <w:jc w:val="center"/>
      </w:pPr>
      <w:r>
        <w:rPr>
          <w:b w:val="0"/>
          <w:color w:val="FFFFFF"/>
          <w:sz w:val="16"/>
        </w:rPr>
      </w:r>
    </w:p>
    <w:p>
      <w:pPr>
        <w:spacing w:after="120"/>
        <w:jc w:val="center"/>
      </w:pPr>
      <w:r>
        <w:rPr>
          <w:b w:val="0"/>
          <w:color w:val="1A2E4A"/>
          <w:sz w:val="20"/>
        </w:rPr>
        <w:t>Prepared by: MetronBase Labs</w:t>
      </w:r>
    </w:p>
    <w:p>
      <w:pPr>
        <w:spacing w:after="120"/>
        <w:jc w:val="center"/>
      </w:pPr>
      <w:r>
        <w:rPr>
          <w:b/>
          <w:color w:val="D47E00"/>
          <w:sz w:val="18"/>
        </w:rPr>
        <w:t>Classification: Confidential — Internal</w:t>
      </w:r>
    </w:p>
    <w:p>
      <w:pPr>
        <w:spacing w:after="120"/>
        <w:jc w:val="center"/>
      </w:pPr>
      <w:r>
        <w:rPr>
          <w:b w:val="0"/>
          <w:color w:val="808080"/>
          <w:sz w:val="18"/>
        </w:rPr>
        <w:t>Date: March 2026</w:t>
      </w:r>
    </w:p>
    <w:p>
      <w:r>
        <w:br w:type="page"/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1. Introduction</w:t>
      </w:r>
    </w:p>
    <w:p>
      <w:pPr>
        <w:spacing w:before="240" w:after="80"/>
      </w:pPr>
      <w:r>
        <w:rPr>
          <w:b/>
          <w:color w:val="008B8B"/>
          <w:sz w:val="26"/>
        </w:rPr>
        <w:t>1.1  Purpose</w:t>
      </w:r>
    </w:p>
    <w:p>
      <w:pPr>
        <w:spacing w:after="80"/>
      </w:pPr>
      <w:r>
        <w:rPr>
          <w:i w:val="0"/>
          <w:sz w:val="20"/>
        </w:rPr>
        <w:t>This Software Requirements Specification (SRS) defines the functional and non-functional requirements for the Liquid Emissions Revenue Collection platform — a multi-tenant, multi-currency digital system that automates the collection, settlement, and reporting of ship emission fees at Nigerian ports.</w:t>
      </w:r>
    </w:p>
    <w:p>
      <w:pPr>
        <w:spacing w:after="80"/>
      </w:pPr>
      <w:r>
        <w:rPr>
          <w:i w:val="0"/>
          <w:sz w:val="20"/>
        </w:rPr>
        <w:t>The platform is operated by Blue Wave on behalf of NIMASA, and developed by MetronBase Labs / Liquid Payments. This document is the authoritative technical reference for all development phases and must be read alongside the Domain Model and Prisma Schema.</w:t>
      </w:r>
    </w:p>
    <w:p>
      <w:pPr>
        <w:spacing w:before="240" w:after="80"/>
      </w:pPr>
      <w:r>
        <w:rPr>
          <w:b/>
          <w:color w:val="008B8B"/>
          <w:sz w:val="26"/>
        </w:rPr>
        <w:t>1.2  Scope</w:t>
      </w:r>
    </w:p>
    <w:p>
      <w:pPr>
        <w:spacing w:after="80"/>
      </w:pPr>
      <w:r>
        <w:rPr>
          <w:i w:val="0"/>
          <w:sz w:val="20"/>
        </w:rPr>
        <w:t>The system covers: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Vessel operator account creation and identity management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Retrieval of emission assessment data from an external maritime authority system via Payment Reference ID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Collection of emission fees plus platform service charges in USD and NGN (crypto/stablecoin in a future phase)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Multi-party settlement disbursement: NIMASA, Port Authority, Blue Wave, Liquid Payments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Payouts to Nigerian bank accounts (NGN) and international accounts via Wise Business API (USD)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Audit trail, revenue reporting, and compliance exports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Notification delivery (email, in-app; SMS optional)</w:t>
      </w:r>
    </w:p>
    <w:p>
      <w:pPr>
        <w:spacing w:after="80"/>
      </w:pPr>
      <w:r>
        <w:rPr>
          <w:i w:val="0"/>
          <w:sz w:val="20"/>
        </w:rPr>
        <w:t>Out of scope for v1.0: vessel AIS/SEMSW sensor integration, own payment gateway, crypto collection.</w:t>
      </w:r>
    </w:p>
    <w:p>
      <w:pPr>
        <w:spacing w:before="240" w:after="80"/>
      </w:pPr>
      <w:r>
        <w:rPr>
          <w:b/>
          <w:color w:val="008B8B"/>
          <w:sz w:val="26"/>
        </w:rPr>
        <w:t>1.3  Definitions &amp; Acronyms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Term / Acronym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AIS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Automatic Identification System — vessel tracking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BullMQ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Redis-backed job queue library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CO2e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Carbon dioxide equivalent — standardised emission unit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DPIA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 Privacy Impact Assessment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Foreign Exchange rate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GRT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Gross Registered Tonnage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IMO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International Maritime Organization vessel number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MARPOL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International Convention for the Prevention of Pollution from Ships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NDPR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Nigeria Data Protection Regulation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NIMASA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Nigerian Maritime Administration and Safety Agency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Ref ID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Unique reference issued by the external emission authority to vessel operators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PCI-DSS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Card Industry Data Security Standard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 Requirements Document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RBAC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Role-Based Access Control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SEMSW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Ship Emission Monitoring System with Wireless — physical sensor system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SRS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This document — Software Requirements Specification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TOTP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Time-based One-Time Password (2FA)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USDT / USDC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USD-pegged stablecoins (Tether / Circle)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1.4  References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Liquid Emissions Revenue Collection.docx — Product Requirements Document (PRD)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Liquid_Emissions_Domain_Model (1).pdf — DDD Strategic &amp; Tactical Domain Model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Liquid_Emissions_Prisma_Schema.docx — Full Prisma Database Schema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Emmission Fees (1).pdf — Emission Fee Comparison: EU ETS / US / Nigeria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emissions implementation (1).pdf — SEMSW Physical Monitoring Technology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MetronBase_Labs_Playbook.docx — Agency Process &amp; Document Framework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MARPOL Annex VI — IMO Emission Standards Reference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NDPR 2019 / GDPR 2018 — Data Protection Compliance Frameworks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2. Overall Description</w:t>
      </w:r>
    </w:p>
    <w:p>
      <w:pPr>
        <w:spacing w:before="240" w:after="80"/>
      </w:pPr>
      <w:r>
        <w:rPr>
          <w:b/>
          <w:color w:val="008B8B"/>
          <w:sz w:val="26"/>
        </w:rPr>
        <w:t>2.1  Product Perspective</w:t>
      </w:r>
    </w:p>
    <w:p>
      <w:pPr>
        <w:spacing w:after="80"/>
      </w:pPr>
      <w:r>
        <w:rPr>
          <w:i w:val="0"/>
          <w:sz w:val="20"/>
        </w:rPr>
        <w:t>The Liquid Emissions platform is a standalone web application that sits at the intersection of maritime compliance, fintech, and government revenue collection. It does not generate emission assessments — it consumes them from an authoritative external system and provides the payment, settlement, and reporting infrastructure on top.</w:t>
      </w:r>
    </w:p>
    <w:p>
      <w:pPr>
        <w:spacing w:after="80"/>
      </w:pPr>
      <w:r>
        <w:rPr>
          <w:i w:val="0"/>
          <w:sz w:val="20"/>
        </w:rPr>
        <w:t>The system integrates with: (a) an external maritime emission authority API, (b) payment gateways (Paystack, Flutterwave), (c) a payout provider (Wise Business API for USD; Paystack/Flutterwave Transfer API for NGN), and (d) an email/SMS notification provider.</w:t>
      </w:r>
    </w:p>
    <w:p>
      <w:pPr>
        <w:spacing w:before="240" w:after="80"/>
      </w:pPr>
      <w:r>
        <w:rPr>
          <w:b/>
          <w:color w:val="008B8B"/>
          <w:sz w:val="26"/>
        </w:rPr>
        <w:t>2.2  Core User Flow (Happy Path)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emission authority assesses a vessel voyage and generates an emission record with a unique Payment Reference ID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Port authority / NIMASA notifies the vessel operator (by email or physical document) of their Payment Reference ID and amount due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Vessel operator logs in to the platform (account required — no guest access)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4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enters their Payment Reference ID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calls the external system API, retrieves assessment data (fee amount, vessel info, voyage details)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6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creates a PaymentOrder: base emission fee + platform service charge, denominated in USD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selects payment currency (USD or NGN); platform locks FX rate for NGN at that moment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processed via Paystack or Flutterwave; webhook confirms completion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triggers settlement: wallets credited per SplitRule (NIMASA, Port Authority, Blue Wave, Liquid Payments)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10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Receipt emailed to operator; domain events recorded to outbox; notification dispatched to external system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2.3  User Classes &amp;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User Class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Characteristics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Vessel Operator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Pays emission fees. Manages their organisation's vessels. Views payment history and receipts.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 Officer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Views settlement statements, wallet balances, payout history for their organisation.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Platform Admin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Manages organisations, users, fee schedules, split rules, gateways. Requires 2FA.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AUDITOR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Read-only access across all data. Cannot modify any record.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/ Webhook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Internal service account for gateway webhooks and external API callbacks.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2.4  Operating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Environment Component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Cloud Provider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Railway (PostgreSQL managed) + any VPS/cloud for API containers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Frontend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Next.js 14 — deployed to Vercel or equivalent CDN-backed host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Backend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Node.js + Express — containerised, horizontally scalable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PostgreSQL 15 (Railway managed)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Cache / Queue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Redis (Upstash or self-hosted) + BullMQ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Gateways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Paystack (NGN primary), Flutterwave (USD + NGN)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 Payout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Wise Business API (primary); Flutterwave wire (fallback)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NGN Payout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Paystack Transfer API + Flutterwave Transfer API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Notification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SendGrid / Mailgun (email); Termii / Africa's Talking (SMS)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Browser Support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Chrome, Firefox, Edge, Safari — latest two major versions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Mobile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Responsive web; no native mobile app in v1.0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2.5  Assumptions &amp; Dependencies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external maritime emission authority exposes a REST or SOAP API that accepts a Payment Reference ID and returns structured assessment data.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external API returns either a pre-calculated fee amount in USD, or sufficient raw inputs (fuel consumed, emission factor) for the platform to calculate fee independently.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vessels subject to fees are ≥ 5,000 GRT, per MARPOL and NIMASA regulatory scope.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fixed base emission fee is USD 100 per ton CO2e; the platform service charge is configured separately in the FeeSchedule.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Paystack supports USD card collection for international vessel operators.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Flutterwave provides USD collection for international payments.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Wise Business API is available for the platform's operational entity and supports NGN → USD and USD payout flows.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NIMASA and Port Authority payout bank accounts are pre-registered in the system before settlement disbursements begin.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platform will not store raw card data; PCI-DSS scope is SAQ-A (fully hosted gateway pages).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FX rates for NGN/USD are fetched from a live rate provider at payment initiation and locked for the life of the PaymentOrder.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3. External System Integration — Emission Authority API</w:t>
      </w:r>
    </w:p>
    <w:p>
      <w:pPr>
        <w:spacing w:after="80"/>
      </w:pPr>
      <w:r>
        <w:rPr>
          <w:i w:val="0"/>
          <w:sz w:val="20"/>
        </w:rPr>
        <w:t>The emission data pipeline is the most critical external dependency. The platform does not generate emission assessments — it acts as the collection layer on top of the maritime authority's assessment engine. This section defines the integration contract.</w:t>
      </w:r>
    </w:p>
    <w:p>
      <w:pPr>
        <w:spacing w:before="240" w:after="80"/>
      </w:pPr>
      <w:r>
        <w:rPr>
          <w:b/>
          <w:color w:val="008B8B"/>
          <w:sz w:val="26"/>
        </w:rPr>
        <w:t>3.1  Payment Reference ID Flow</w:t>
      </w:r>
    </w:p>
    <w:p>
      <w:pPr>
        <w:spacing w:after="80"/>
      </w:pPr>
      <w:r>
        <w:rPr>
          <w:i w:val="0"/>
          <w:sz w:val="20"/>
        </w:rPr>
        <w:t>The Payment Reference ID (hereafter "Payment Ref ID") is a unique, opaque token or structured reference number generated by the external maritime authority system when a vessel's emission assessment is finalised. It is the primary key linking the platform's PaymentOrder to the authority's assessment record.</w:t>
      </w:r>
    </w:p>
    <w:p>
      <w:pPr>
        <w:spacing w:before="240" w:after="80"/>
      </w:pPr>
      <w:r>
        <w:rPr>
          <w:b/>
          <w:color w:val="008B8B"/>
          <w:sz w:val="26"/>
        </w:rPr>
        <w:t>3.2  External API Contract (Required Capabilities)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Endpoint / Capability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v1.0 Status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/assessment/{paymentRefId}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Fetch assessment data by Payment Ref ID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POST /payment-confirmation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Notify external system of successful payment; send receipt reference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/assessment/status/{id}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Check whether an assessment has already been paid (idempotency guard)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REQUIRED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GET /vessel/{imoNumber}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Fetch vessel profile by IMO number for display/validation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Webhook (inbound)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system may push updated assessment data to platform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FUTURE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3.3  Assessment Response Payload (Expected Fields)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paymentRefId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Unique reference — matches the input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imoNumber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IMO vessel identifier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vesselName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 display name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vesselGRT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Gross Registered Tonnage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portOfCall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UN/LOCODE of Nigerian port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voyageArrival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ISO 8601 date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voyageDeparture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ISO 8601 date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feeAmountUSD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PREFERRED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Pre-calculated fee in USD minor units (cents). If absent, platform calculates.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co2eTons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PREFERRED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CO2e quantity. Used if feeAmountUSD absent.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fuelConsumedMT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Metric tons of fuel consumed. Used for independent calculation.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emissionFactorKgPerMT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decimal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Emission factor — used with fuelConsumedMT if co2eTons absent.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feeScheduleRef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Authority's fee schedule version reference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assessmentStatus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enum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PENDING_PAYMENT | PAID | CANCELLED | DISPUTED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currency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string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REQUIRED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Always "USD" — authority bills in USD</w:t>
            </w:r>
          </w:p>
        </w:tc>
      </w:tr>
    </w:tbl>
    <w:p/>
    <w:p>
      <w:pPr>
        <w:spacing w:before="40" w:after="80"/>
        <w:ind w:left="360"/>
      </w:pPr>
      <w:r>
        <w:rPr>
          <w:i/>
          <w:color w:val="D47E00"/>
          <w:sz w:val="18"/>
        </w:rPr>
        <w:t>NOTE: If feeAmountUSD is provided by the external system, the platform uses it directly. If absent, the platform computes: CO2e_tons × USD 100. If neither is provided, the PaymentOrder is held in ASSESSMENT_INCOMPLETE status and an alert is raised.</w:t>
      </w:r>
    </w:p>
    <w:p>
      <w:pPr>
        <w:spacing w:before="240" w:after="80"/>
      </w:pPr>
      <w:r>
        <w:rPr>
          <w:b/>
          <w:color w:val="008B8B"/>
          <w:sz w:val="26"/>
        </w:rPr>
        <w:t>3.4  Platform Charges</w:t>
      </w:r>
    </w:p>
    <w:p>
      <w:pPr>
        <w:spacing w:after="80"/>
      </w:pPr>
      <w:r>
        <w:rPr>
          <w:i w:val="0"/>
          <w:sz w:val="20"/>
        </w:rPr>
        <w:t>In addition to the base emission fee received from the external system, the platform appends a service charge. This charge is configured in the FeeSchedule aggregate and may be expressed as: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 flat USD amount per payment (e.g., USD 50.00)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 percentage of the base fee (e.g., 1.5%)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 combination: flat + percentage</w:t>
      </w:r>
    </w:p>
    <w:p>
      <w:pPr>
        <w:spacing w:after="80"/>
      </w:pPr>
      <w:r>
        <w:rPr>
          <w:i w:val="0"/>
          <w:sz w:val="20"/>
        </w:rPr>
        <w:t>The total amount presented to the vessel operator is: Base Fee (from external system) + Platform Service Charge. Both line items are shown separately on the payment screen and on the receipt.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4. Functional Requirements</w:t>
      </w:r>
    </w:p>
    <w:p>
      <w:pPr>
        <w:spacing w:after="80"/>
      </w:pPr>
      <w:r>
        <w:rPr>
          <w:i w:val="0"/>
          <w:sz w:val="20"/>
        </w:rPr>
        <w:t>Requirements are grouped by bounded context. Priority: MUST = MVP required | SHOULD = launch required | COULD = post-launch | WON'T = explicitly out of scope.</w:t>
      </w:r>
    </w:p>
    <w:p>
      <w:pPr>
        <w:spacing w:before="240" w:after="80"/>
      </w:pPr>
      <w:r>
        <w:rPr>
          <w:b/>
          <w:color w:val="008B8B"/>
          <w:sz w:val="26"/>
        </w:rPr>
        <w:t>4.1  Identity &amp; Access Management (IDN)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Account creation is mandatory. No guest or anonymous payment access.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Business decision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An Organisation record must be created before any user can make a payment. One user may belong to exactly one Organisation.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Supported roles: ADMIN, OPERATOR, FINANCE, AUDITOR. Roles are assigned per user within an Organisation.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RBAC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AUDITOR role grants read-only access at the domain level. No create, update, or delete operations permitted.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role requires TOTP-based 2FA (e.g., Google Authenticator). Login without 2FA is rejected.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Authentication uses JWT (RS256 asymmetric signing). Access tokens expire in 15 minutes; refresh tokens in 7 days.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An Organisation may register one or more vessel IMO numbers. A vessel IMO may only be active under one Organisation at a time.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integrity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Password reset via time-limited email token (expires 1 hour). Brute-force protection: 5 failed attempts triggers 15-minute lockout.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user actions are logged with user ID, timestamp, IP address, and action type.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 / NDPR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An Organisation may be suspended by ADMIN, preventing all further payments from that org.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IDN-11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SSO (SAML 2.0 / OAuth2) for enterprise organisations.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 phase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4.2  Emission Assessment Ingestion (EMS)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 vessel operator enters a Payment Reference ID on the platform to initiate a payment.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Core flow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 receipt of a Payment Ref ID, the system calls the external emission authority API to retrieve assessment data.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API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system validates that assessmentStatus == PENDING_PAYMENT before creating a PaymentOrder. Any other status (PAID, CANCELLED, DISPUTED) is rejected with a clear error message.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 guard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Assessment data retrieved from the external system is stored as an EmissionAssessment record, linked to the PaymentOrder by paymentRefId.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Data persistence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the external system provides feeAmountUSD, the platform uses it as the base fee without modification.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Fee fidelity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feeAmountUSD is absent but co2eTons is provided, the platform calculates: baseFeeCents = co2eTons × 100 × 100 (USD minor units).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Fallback calculation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neither feeAmountUSD nor co2eTons is provided, the PaymentOrder is created in ASSESSMENT_INCOMPLETE status and an admin alert is triggered. Payment cannot proceed until resolved.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Error handling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platform service charge is appended to the base fee. Both amounts are line-itemised on the PaymentOrder and visible to the operator before payment.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Transparency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One Payment Ref ID may only be paid once. A second attempt to use a paid reference is rejected (check: assessmentStatus == PAID on external system + local DB check).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 successful payment, the platform notifies the external system via POST /payment-confirmation with: paymentRefId, platformPaymentRef, timestamp, amountPaidUSD.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notification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If the external API is unavailable at lookup time, the system returns an error to the user and does not create a PaymentOrder. Retry is manual.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Resilience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system caches assessment data per Payment Ref ID for 15 minutes (Redis) to avoid redundant external API calls during the checkout session.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Performance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EMS-13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can manually override an EmissionAssessment (e.g., dispute resolution) with a mandatory audit note.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4.3  Payment Processing (PAY)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Billing currency is always USD. All PaymentOrder amounts are stored and reported in USD minor units (cents).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Currency standard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operator may choose to pay in USD or NGN. Currency selection is presented after assessment data is loaded.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Multi-currency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For NGN payments, the platform fetches the live USD/NGN exchange rate from a configured FX provider at payment initiation. The rate is locked on the PaymentOrder for its lifetime.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FX handling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NGN equivalent is calculated as: ngnAmount = (usdAmountCents / 100) × fxRate × 100 (in kobo minor units). Both USD and NGN amounts are stored on the PaymentOrder.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Data integrity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payments are processed via Flutterwave (primary) or Paystack (secondary) USD collection.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gateway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payments are processed via Paystack (primary) or Flutterwave (secondary).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gateway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gateway routing is configurable by ADMIN without code deployment (gateway priority config in DB).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Ops flexibility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Crypto (USDT, USDC) payment collection is out of scope for v1.0 but the gateway adapter interface MUST be designed to support plugging in a crypto gateway in a future phase.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Architecture constraint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PaymentOrder state machine: PENDING → PROCESSING → COMPLETED | FAILED | REFUNDED. No other transitions are valid.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 completed PaymentOrder is immutable. Refunds are processed as a new reversal PaymentOrder referencing the original.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TransactionReference field is globally unique across all PaymentOrders. Generated as a platform-scoped UUID + timestamp hash.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Uniqueness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Idempotency: a Redis key (TTL 24 hours) keyed on {paymentRefId}:{currency} prevents duplicate PaymentOrder creation from concurrent requests.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Idempotency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Gateway webhook payloads are verified via HMAC signature before processing. Unverified webhooks are rejected and logged.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Security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Webhook events are processed via BullMQ jobs (not synchronously in the webhook handler) to ensure durability and retry on failure.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Reliability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Own gateway: the gateway integration MUST use an adapter/port pattern (interface + implementation). A future own-gateway implementation requires only a new adapter — no core payment logic changes.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Architecture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link generation: Admin may generate a one-time payment link for a specific Payment Ref ID to share with operators who cannot self-serve.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Partial payments are not supported. A PaymentOrder must be fully settled in a single transaction.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Business rule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PAY-18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receipt is generated as a PDF and emailed to the vessel operator upon COMPLETED status.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4.4  Settlement &amp; Disbursement (STL)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 PaymentCompleted event, the settlement engine calculates split allocations using the active SplitRule for the payment's FeeSchedule.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Core domain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Settlement beneficiaries for v1.0: NIMASA, Port Authority, Blue Wave, Liquid Payments. Each is a named beneficiary in the SplitRule.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Business rule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SplitRule allocations are expressed in basis points. All basis points across all beneficiaries for a given rule must sum to exactly 10,000 (= 100%). Invalid rules are rejected at save time.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Each beneficiary has a Wallet. Settlement credits each beneficiary's Wallet with their allocated share. Ledger entries are append-only.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Ledger integrity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Collected funds are held in an escrow wallet until a SettlementBatch is triggered. Escrow is never credited below zero.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Financial safety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SettlementBatch is triggered on a configurable schedule (daily or weekly, configurable by ADMIN without code deployment).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payouts are disbursed via Paystack Transfer API or Flutterwave Transfer API to registered Nigerian bank accounts.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 payout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payouts to international beneficiaries are disbursed via Wise Business API (primary). SWIFT wire is a fallback for Wise-unsupported corridors.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payout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Wise Business API integration must support: balance check, recipient creation, transfer initiation, transfer status polling, and webhook confirmation.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integration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Future: USD payout via stablecoin (USDT/USDC) rails. Architecture must support a pluggable payout adapter interface, same pattern as payment gateway.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Architecture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Payout failure is recorded on the SettlementBatch with error detail. Failed payouts trigger an admin alert and must be retried manually or via an admin-initiated retry action.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Resilience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Wallet available balance may never go below zero. Any operation that would result in a negative balance is rejected.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Domain invariant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LedgerEntry records are append-only. No updates or deletes on ledger data. There is no updatedAt field on ledger entries.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Ledger integrity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 beneficiary's Finance Officer can view their wallet balance, ledger history, and payout history. They cannot view other beneficiaries' data.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Data isolation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Platform Admin can view all wallets, all settlement batches, and all payout records across beneficiaries.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capability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STL-16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SplitRule may be versioned. A new version takes effect from a configured date. Historical PaymentOrders retain the SplitRule version active at their creation time.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Auditability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4.5  Reporting &amp; Audit (RPT)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domain events (PaymentOrderCreated, PaymentCompleted, PaymentFailed, WalletCredited, SettlementDispatched, etc.) are persisted to the reporting_domain_events outbox table before any downstream processing.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Event sourcing / audit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outbox pattern ensures events are not lost if downstream consumers (BullMQ workers) are unavailable.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Reliability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Revenue summary reports: filterable by date range, port of call, vessel, beneficiary, currency, payment status.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Reporting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Settlement batch reports: per batch, showing each beneficiary allocation, payout status, and amounts.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Reporting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Vessel payment history: all PaymentOrders for a given IMO number, with status, amount, date, and receipt link.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Reporting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Export formats: CSV (machine-readable) and PDF (human-readable) for all reports.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 log: every create/update action on any aggregate is logged with actor, timestamp, old value (if applicable), new value, and IP address.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NDPR / GDPR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AUDITOR role can access all reports and the audit log but cannot export data without explicit ADMIN approval (export approval workflow).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Compliance+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RPT-09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Admin dashboard: real-time revenue KPIs (total collected today/week/month, by currency, by beneficiary).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RPT-10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Automated scheduled report delivery: configurable reports emailed to FINANCE officers on a schedule.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Nice-to-have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4.6  Notifications (NTF)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 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Requirement Description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 / Source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confirmation sent to vessel operator email on PaymentCompleted, including: amount paid, currency, Payment Ref ID, transaction reference, and PDF receipt attachment.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Core UX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alert to platform ADMIN on PaymentFailed (gateway failure, not operator cancellation).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alert to platform ADMIN on SettlementFailed (payout failure).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In-app notification to FINANCE officer when a SettlementBatch is completed and wallet is credited.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UX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Webhook callback to external emission authority on PaymentCompleted (see EMS-10).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MUST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integration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SMS notification to vessel operator on PaymentCompleted (configurable opt-in at org level).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UX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NTF-07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reminder to vessel operator if a Payment Ref ID has been looked up but not paid within 24 hours.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COULD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Conversion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NTF-08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All notification templates are configurable by ADMIN without code deployment (template stored in DB).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SHOULD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Operations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5. Payment &amp; Currency Requirements</w:t>
      </w:r>
    </w:p>
    <w:p>
      <w:pPr>
        <w:spacing w:before="240" w:after="80"/>
      </w:pPr>
      <w:r>
        <w:rPr>
          <w:b/>
          <w:color w:val="008B8B"/>
          <w:sz w:val="26"/>
        </w:rPr>
        <w:t>5.1  Multi-Currency Architecture</w:t>
      </w:r>
    </w:p>
    <w:p>
      <w:pPr>
        <w:spacing w:after="80"/>
      </w:pPr>
      <w:r>
        <w:rPr>
          <w:i w:val="0"/>
          <w:sz w:val="20"/>
        </w:rPr>
        <w:t>The platform is USD-native in billing but multi-currency in collection. The following table summarises the currency and gateway matrix for v1.0 and planned future phases.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Currency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Collection Gateway(s)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Payout Method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88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Flutterwave (primary), Paystack USD (secondary)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API (primary)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v1.0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 card / bank transfer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NGN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Paystack (primary), Flutterwave (secondary)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Paystack Transfer API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v1.0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Card, bank transfer, USSD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USDT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Crypto gateway (TBD — e.g., Coinbase Commerce)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On-chain transfer / off-ramp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ERC-20 / TRC-20 stablecoin</w:t>
            </w:r>
          </w:p>
        </w:tc>
      </w:tr>
      <w:tr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USDC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Crypto gateway (TBD)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Circle API / on-chain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</w:t>
            </w:r>
          </w:p>
        </w:tc>
        <w:tc>
          <w:tcPr>
            <w:tcW w:type="dxa" w:w="188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ERC-20 stablecoin</w:t>
            </w:r>
          </w:p>
        </w:tc>
      </w:tr>
      <w:tr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GBP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Flutterwave (if demand exists)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API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Future</w:t>
            </w:r>
          </w:p>
        </w:tc>
        <w:tc>
          <w:tcPr>
            <w:tcW w:type="dxa" w:w="188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UK-based operators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5.2  FX Rate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FX rate (USD/NGN) is fetched from a configurable provider (e.g., ExchangeRate-API, Open Exchange Rates) at PaymentOrder creation time.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fetched rate is stored on the PaymentOrder and is immutable for the lifetime of that order. Rate fluctuations after creation do not affect an in-progress payment.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 provider is configurable by ADMIN. A fallback provider must be configured.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If FX rate fetch fails, NGN payment option is disabled for that session. Only USD payment is offered until rate is recoverable.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FX-05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FX rate shown to the operator includes a configurable spread margin (e.g., +0.5%) to offset FX risk. Margin is configurable by ADMIN.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5.3  Gateway Adapter Pattern</w:t>
      </w:r>
    </w:p>
    <w:p>
      <w:pPr>
        <w:spacing w:after="80"/>
      </w:pPr>
      <w:r>
        <w:rPr>
          <w:i w:val="0"/>
          <w:sz w:val="20"/>
        </w:rPr>
        <w:t>All payment gateway integrations MUST conform to a common PaymentGateway interface. This enables: (a) swapping or adding gateways without modifying core payment logic, (b) routing to different gateways per currency/configuration, and (c) a future own-gateway implementation as a drop-in adapter.</w:t>
      </w:r>
    </w:p>
    <w:p>
      <w:pPr>
        <w:spacing w:after="80"/>
      </w:pPr>
      <w:r>
        <w:rPr>
          <w:i w:val="0"/>
          <w:sz w:val="20"/>
        </w:rPr>
        <w:t>Required interface methods: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initiatePayment(order: PaymentOrder): GatewayResponse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verifyWebhook(payload: unknown, signature: string): boolean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handleWebhookEvent(event: GatewayEvent): DomainEvent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refundPayment(order: PaymentOrder, reason: string): RefundResponse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getPaymentStatus(gatewayRef: string): PaymentStatus</w:t>
      </w:r>
    </w:p>
    <w:p>
      <w:pPr>
        <w:spacing w:before="240" w:after="80"/>
      </w:pPr>
      <w:r>
        <w:rPr>
          <w:b/>
          <w:color w:val="008B8B"/>
          <w:sz w:val="26"/>
        </w:rPr>
        <w:t>5.4  USD Payout — Wise Business API</w:t>
      </w:r>
    </w:p>
    <w:p>
      <w:pPr>
        <w:spacing w:after="80"/>
      </w:pPr>
      <w:r>
        <w:rPr>
          <w:i w:val="0"/>
          <w:sz w:val="20"/>
        </w:rPr>
        <w:t>Wise Business API is selected as the primary USD payout mechanism over SWIFT wires due to lower fees, faster settlement (1–2 days vs 3–5 days), real-time rate locking, and developer-friendly API. The integration must support: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Profile verification and balance management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Recipient account creation (bank account details for USD payouts to US/EU/UK accounts)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Quote creation (lock exchange rate for payout amount)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Transfer creation and confirmation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Transfer status polling and webhook receipt for settlement confirmation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Multi-currency accounts (USD, GBP, EUR) for beneficiary payouts</w:t>
      </w:r>
    </w:p>
    <w:p>
      <w:pPr>
        <w:spacing w:before="40" w:after="80"/>
        <w:ind w:left="360"/>
      </w:pPr>
      <w:r>
        <w:rPr>
          <w:i/>
          <w:color w:val="D47E00"/>
          <w:sz w:val="18"/>
        </w:rPr>
        <w:t>NOTE: For NIMASA and Port Authority (Nigerian government entities), NGN payouts via Paystack/Flutterwave to Nigerian bank accounts are the primary mechanism. USD Wise payouts are primarily for Blue Wave and Liquid Payments international disbursements.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6. Non-Functional Requirements</w:t>
      </w:r>
    </w:p>
    <w:p>
      <w:pPr>
        <w:spacing w:before="240" w:after="80"/>
      </w:pPr>
      <w:r>
        <w:rPr>
          <w:b/>
          <w:color w:val="008B8B"/>
          <w:sz w:val="26"/>
        </w:rPr>
        <w:t>6.1 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API p95 response time ≤ 500ms for all endpoints excluding external API calls.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webhook processing (BullMQ job) completed within 5 seconds of receipt.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API lookup (Payment Ref ID resolution) timeout: 10 seconds. Circuit breaker opens after 3 consecutive failures.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Dashboard reports for up to 12 months of data must render within 3 seconds.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NFR-PERF-05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System must sustain 200 concurrent payment sessions without degradation.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6.2 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data in transit encrypted via TLS 1.3 minimum. TLS 1.1 and 1.2 disabled.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PII and payment data at rest encrypted using AES-256.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JWT RS256 asymmetric signing. Private key stored in environment secrets — never in source code or DB.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TOTP 2FA mandatory for ADMIN role. FINANCE and OPERATOR roles may optionally enable 2FA.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card data stored on platform servers. PCI-DSS SAQ-A scope (gateway-hosted card capture).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Webhook HMAC signature verification for all incoming gateway webhooks.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Rate limiting: 100 req/min per authenticated user; 20 req/min for unauthenticated endpoints.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OWASP Top 10 mitigations applied: input validation, parameterised queries, XSS prevention, CSRF tokens, secure headers (CSP, HSTS).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NFR-SEC-09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Dependency vulnerability scanning in CI (e.g., npm audit, Snyk) on every pull request.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NFR-SEC-10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Penetration test by a third party required before production launch (Phase 4 gate).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6.3  Availability &amp; Reliability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Target uptime: 99.9% per calendar month (≤ 43.8 minutes downtime/month).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Planned maintenance windows must be communicated 48 hours in advance and scheduled outside Nigerian business hours (06:00–22:00 WAT).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BullMQ jobs have a minimum of 3 retry attempts with exponential backoff before marking failed.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Database: automated daily backups with 30-day retention. Point-in-time recovery capability required.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NFR-AV-05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Circuit breaker pattern on all external API integrations (emission authority, payment gateways, payout providers, FX providers).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6.4 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API layer must be horizontally scalable (stateless; session state in Redis, not in-process memory).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BullMQ workers must be independently scalable from the API layer.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Database connection pooling (PgBouncer or Prisma connection pool) required in production.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NFR-SC-04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Architecture must support processing ≥ 1,000 payment webhook events per hour without queue backlog.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SHOULD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6.5  Compliance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NDPR 2019 compliance: lawful basis for processing, data subject rights (access, deletion, portability), DPO designation, breach notification within 72 hours.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GDPR compliance for EU-based vessel operators.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PCI-DSS SAQ-A: no card data on platform servers; quarterly ASV scans on in-scope components.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All financial records retained for a minimum of 7 years (FIRS requirement).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MARPOL Annex VI emission calculation methodology documented and auditable.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NFR-CP-06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DPIA completed before any PII data is collected in production (Phase 4 gate).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MUST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7. Data Requirements</w:t>
      </w:r>
    </w:p>
    <w:p>
      <w:pPr>
        <w:spacing w:before="240" w:after="80"/>
      </w:pPr>
      <w:r>
        <w:rPr>
          <w:b/>
          <w:color w:val="008B8B"/>
          <w:sz w:val="26"/>
        </w:rPr>
        <w:t>7.1  Data Principles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monetary amounts stored as integer minor units (cents for USD, kobo for NGN) with a Currency enum field. No floating-point money.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No cross-context foreign key constraints in the database. Cross-context references use plain string IDs.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Table names are prefixed by context: identity_, emissions_, payments_, settlement_, reporting_, notifications_.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Ledger entries (settlement_ledger_entries) have no updatedAt field. Append-only.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SplitRule basis points must sum to 10,000; enforced at application layer and documented as a DB check constraint.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timestamps stored in UTC. Timezone conversion is a presentation-layer concern.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PII fields (email, phone, full name, address) encrypted at rest using AES-256.</w:t>
      </w:r>
    </w:p>
    <w:p>
      <w:pPr>
        <w:spacing w:before="240" w:after="80"/>
      </w:pPr>
      <w:r>
        <w:rPr>
          <w:b/>
          <w:color w:val="008B8B"/>
          <w:sz w:val="26"/>
        </w:rPr>
        <w:t>7.2  Data Retention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Data Category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Retention Period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records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years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FIRS / CBN regulatory requirement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 &amp; ledger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years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Financial audit requirement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Emission assessment data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years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NIMASA / MARPOL record-keeping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Audit logs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5 years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NDPR / GDPR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Domain events (outbox)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 years active + archive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Operational + compliance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Notification logs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1 year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Operational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Session tokens (Redis)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7 days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Security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Idempotency keys (Redis)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Operational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7.3  Data Sovereignty</w:t>
      </w:r>
    </w:p>
    <w:p>
      <w:pPr>
        <w:spacing w:after="80"/>
      </w:pPr>
      <w:r>
        <w:rPr>
          <w:i w:val="0"/>
          <w:sz w:val="20"/>
        </w:rPr>
        <w:t>All primary data must be stored in servers physically located in Nigeria or, at minimum, within Africa, to comply with NDPR data localisation requirements. The Railway-managed PostgreSQL instance must be provisioned in a Nigerian or West African region. If no such region is available on Railway, an alternative provider (e.g., AWS Lagos ap-southeast-1 equivalent, or Render) must be evaluated.</w:t>
      </w:r>
    </w:p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8. Interface Requirements</w:t>
      </w:r>
    </w:p>
    <w:p>
      <w:pPr>
        <w:spacing w:before="240" w:after="80"/>
      </w:pPr>
      <w:r>
        <w:rPr>
          <w:b/>
          <w:color w:val="008B8B"/>
          <w:sz w:val="26"/>
        </w:rPr>
        <w:t>8.1  User Interface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The web application is responsive. All payment flows must be fully functional on mobile browsers (iOS Safari, Android Chrome).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UI is built with Next.js 14 (App Router) + shadcn/ui + Tailwind CSS.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monetary amounts displayed with currency symbol, formatted to 2 decimal places.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Multi-currency payment selection presents the USD amount and the NGN equivalent (with "rate locked at" disclosure) side-by-side.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All forms include client-side and server-side validation. Error messages are human-readable and actionable.</w:t>
      </w:r>
    </w:p>
    <w:p>
      <w:pPr>
        <w:pStyle w:val="ListBullet"/>
      </w:pPr>
    </w:p>
    <w:p>
      <w:pPr>
        <w:spacing w:after="80"/>
        <w:ind w:left="360"/>
      </w:pPr>
      <w:r>
        <w:rPr>
          <w:i w:val="0"/>
          <w:sz w:val="20"/>
        </w:rPr>
        <w:t>•  Loading states are shown for all async operations (API lookups, payment processing).</w:t>
      </w:r>
    </w:p>
    <w:p>
      <w:pPr>
        <w:spacing w:before="240" w:after="80"/>
      </w:pPr>
      <w:r>
        <w:rPr>
          <w:b/>
          <w:color w:val="008B8B"/>
          <w:sz w:val="26"/>
        </w:rPr>
        <w:t>8.2  External API Interfaces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Auth / Security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Emission Authority API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 (assumed) or SOAP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GET assessment data by Payment Ref ID; POST payment confirmation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TLS 1.3; API key or mutual TLS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Paystack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initiation, webhook events, transfer (NGN payout)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HMAC-SHA512 webhook verification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Flutterwave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Payment initiation (USD + NGN), webhook events, transfer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SHA-256 webhook hash verification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API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Quote, transfer creation, recipient management, webhook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OAuth 2.0; HTTPS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FX Rate Provider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USD/NGN spot rate fetch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API key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Provider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 (SendGrid/Mailgun)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Transactional email delivery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API key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SMS Provider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REST (Termii)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SMS notification delivery (optional)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HTTPS; API key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8.3  Internal API</w:t>
      </w:r>
    </w:p>
    <w:p>
      <w:pPr>
        <w:spacing w:after="80"/>
      </w:pPr>
      <w:r>
        <w:rPr>
          <w:i w:val="0"/>
          <w:sz w:val="20"/>
        </w:rPr>
        <w:t>The platform exposes a REST API documented in OpenAPI 3.x (YAML). Key API surface areas: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API Group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Key Endpoints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Auth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/auth/register, /auth/login, /auth/refresh, /auth/logout, /auth/2fa/*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/organisations, /organisations/{id}/vessels, /users, /users/{id}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/assessments/lookup (POST with paymentRefId), /assessments/{id}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/payment-orders, /payment-orders/{id}, /payment-orders/{id}/initiate, /webhooks/{gateway}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/wallets, /wallets/{id}/ledger, /settlement-batches, /payouts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Reports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/reports/revenue, /reports/settlement, /reports/vessels/{imoNumber}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Admin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/admin/organisations, /admin/fee-schedules, /admin/split-rules, /admin/gateways, /admin/templates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9. System Constraints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Constraint Type</w:t>
            </w:r>
          </w:p>
        </w:tc>
        <w:tc>
          <w:tcPr>
            <w:tcW w:type="dxa" w:w="4703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TypeScript (strict) throughout — no plain JavaScript in any deliverable.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Monorepo structure: Turborepo. Apps: apps/web (Next.js), apps/api (Express). Shared packages: packages/ui, packages/types, packages/config.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ORM: Prisma 5.x only. No raw SQL except for complex reporting queries (documented exceptions).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Technical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No floating-point arithmetic on monetary values anywhere in the codebase.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Card data must not pass through platform servers. PCI-DSS SAQ-A only.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PII must not appear in application logs (Pino) or error tracking. Use redaction middleware.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Regulatory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Production deployment requires DPIA sign-off and pen-test report.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platform is not the source of truth for emission assessments. The external maritime authority system is. Disputes on assessment amounts are handled externally.</w:t>
            </w:r>
          </w:p>
        </w:tc>
      </w:tr>
      <w:tr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4703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The platform cannot override or modify the base emission fee from the external system (admin override in EMS-13 requires full audit trail and is for exceptional cases only).</w:t>
            </w:r>
          </w:p>
        </w:tc>
      </w:tr>
      <w:tr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Business</w:t>
            </w:r>
          </w:p>
        </w:tc>
        <w:tc>
          <w:tcPr>
            <w:tcW w:type="dxa" w:w="4703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Blue Wave is the operating entity. NIMASA and Port Authority are beneficiaries, not operators of the platform.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10. Open Items &amp; Future Phases</w:t>
      </w:r>
    </w:p>
    <w:p>
      <w:pPr>
        <w:spacing w:before="240" w:after="80"/>
      </w:pPr>
      <w:r>
        <w:rPr>
          <w:b/>
          <w:color w:val="008B8B"/>
          <w:sz w:val="26"/>
        </w:rPr>
        <w:t>10.1  Open Items Requiring Decision Before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2351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6"/>
              </w:rPr>
              <w:t>Impact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OI-01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External Emission Authority API Contract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The actual API spec (endpoints, auth mechanism, payload schema) from the maritime authority is not yet available. A mock must be built for development. Actual integration requires API documentation from NIMASA/authority.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HIGH — blocks EMS module build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OI-02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FX Rate Provider Selection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Provider for USD/NGN live rates not yet selected. Candidates: Open Exchange Rates, ExchangeRate-API, CBN rate feed. Spread margin policy to be agreed with Blue Wave.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MEDIUM — needed before NGN payment flow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OI-03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API Eligibility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Wise Business account must be opened and API access approved for the operating entity. Nigeria-domiciled businesses may have limited Wise access — verify supported corridors.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HIGH — blocks USD payout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OI-04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SplitRule Configuration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Exact basis point allocations for NIMASA, Port Authority, Blue Wave, Liquid Payments not yet agreed. Needed before settlement engine is deployed.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HIGH — needed before settlement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OI-05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Platform Service Charge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Flat fee vs percentage vs combination not decided. Amount not agreed.</w:t>
            </w:r>
          </w:p>
        </w:tc>
        <w:tc>
          <w:tcPr>
            <w:tcW w:type="dxa" w:w="2351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HIGH — needed before PaymentOrder creation logic</w:t>
            </w:r>
          </w:p>
        </w:tc>
      </w:tr>
      <w:tr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OI-06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Email &amp; SMS Provider Contracts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SendGrid vs Mailgun vs AWS SES for email. Termii vs Africa's Talking for SMS.</w:t>
            </w:r>
          </w:p>
        </w:tc>
        <w:tc>
          <w:tcPr>
            <w:tcW w:type="dxa" w:w="2351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6"/>
              </w:rPr>
              <w:t>LOW — can decide during Phase 3</w:t>
            </w:r>
          </w:p>
        </w:tc>
      </w:tr>
    </w:tbl>
    <w:p/>
    <w:p>
      <w:pPr>
        <w:spacing w:before="240" w:after="80"/>
      </w:pPr>
      <w:r>
        <w:rPr>
          <w:b/>
          <w:color w:val="008B8B"/>
          <w:sz w:val="26"/>
        </w:rPr>
        <w:t>10.2  Future Phases (Post v1.0)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F-01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Crypto Collection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USDT/USDC payment via Coinbase Commerce or Bitpay. Stablecoin payout to beneficiaries.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F-02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Own Payment Gateway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Proprietary gateway replacing Paystack/Flutterwave. Pluggable adapter pattern (PAY-15) enables this with minimal core changes.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F-03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AIS/SEMSW Integration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Direct ingestion of vessel emission data from physical sensors. Eliminates reliance on external authority API for data.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F-04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Native Mobile Apps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iOS and Android apps for vessel operators.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F-05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Multi-Jurisdiction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Extend to other West African port jurisdictions beyond Nigeria.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F-06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SWIFT Alternative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If Wise is unavailable: evaluate Grey.co, Leatherback, or Flutterwave's international USD payout for beneficiaries requiring USD outside Wise corridors.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F-07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Instalment 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For large assessments, allow phased payment plans (requires escrow logic extension).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F-08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Advanced Analytics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BI dashboard with trend analysis, port comparisons, and predictive revenue modelling.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Appendix A — Payment State Machine</w:t>
      </w:r>
    </w:p>
    <w:p>
      <w:pPr>
        <w:spacing w:after="80"/>
      </w:pPr>
      <w:r>
        <w:rPr>
          <w:i w:val="0"/>
          <w:sz w:val="20"/>
        </w:rPr>
        <w:t>Valid state transitions for PaymentOrder: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From State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To State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Trigger / Condition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 initiation acknowledged by gateway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webhook confirms successful charge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PROCESSING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webhook confirms failed or declined charge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COMPLETED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REFUNDED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Refund processed via new reversal PaymentOrder (original remains COMPLETED + immutable)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FAILED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PENDING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retries payment (new PaymentOrder created referencing same Payment Ref ID — idempotency check passes because prior order is FAILED, not COMPLETED)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PENDING/PROCESSING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CANCELLED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Operator cancels before payment submitted to gateway (PROCESSING → CANCELLED only within 30s grace window via gateway void)</w:t>
            </w:r>
          </w:p>
        </w:tc>
      </w:tr>
    </w:tbl>
    <w:p/>
    <w:p>
      <w:pPr>
        <w:pBdr>
          <w:bottom w:val="single" w:sz="6" w:space="1" w:color="008B8B"/>
        </w:pBdr>
        <w:spacing w:before="400" w:after="120"/>
      </w:pPr>
      <w:r>
        <w:rPr>
          <w:b/>
          <w:color w:val="0D1B3E"/>
          <w:sz w:val="32"/>
        </w:rPr>
        <w:t>Appendix B — Domain Events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Event Name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Context</w:t>
            </w:r>
          </w:p>
        </w:tc>
        <w:tc>
          <w:tcPr>
            <w:tcW w:type="dxa" w:w="3135"/>
            <w:shd w:val="clear" w:color="auto" w:fill="1A2E4A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PaymentOrderCreated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PaymentOrder created from assessment lookup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PaymentInitiated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payment session started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PaymentCompleted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confirms successful payment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PaymentFailed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Gateway confirms failed payment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PaymentRefunded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payments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Reversal PaymentOrder completed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WalletCredited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Beneficiary wallet credited after settlement split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EscrowFunded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Escrow wallet funded on PaymentCompleted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SettlementBatchCreated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batch triggered (manual or scheduled)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SettlementDispatched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Payout API call made for beneficiary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SettlementCompleted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Payout confirmed by provider webhook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SettlementFailed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settlement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Payout failed — admin alert triggered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AssessmentRetrieved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emissions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API returned assessment data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AssessmentIncomplete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emissions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External API returned insufficient data for fee calculation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UserRegistered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user account created</w:t>
            </w:r>
          </w:p>
        </w:tc>
      </w:tr>
      <w:tr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OrganisationCreated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135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New organisation onboarded</w:t>
            </w:r>
          </w:p>
        </w:tc>
      </w:tr>
      <w:tr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OrganisationSuspended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identity</w:t>
            </w:r>
          </w:p>
        </w:tc>
        <w:tc>
          <w:tcPr>
            <w:tcW w:type="dxa" w:w="3135"/>
            <w:shd w:val="clear" w:color="auto" w:fill="F0F4F8"/>
            <w:vAlign w:val="center"/>
          </w:tcPr>
          <w:p>
            <w:pPr>
              <w:spacing w:before="40" w:after="40"/>
            </w:pPr>
            <w:r>
              <w:rPr>
                <w:sz w:val="18"/>
              </w:rPr>
              <w:t>Organisation suspended by admin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Liquid Emissions Revenue Collection  |  Software Requirements Specification v1.0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