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</w:p>
    <w:p>
      <w:pPr>
        <w:spacing w:after="40"/>
      </w:pPr>
    </w:p>
    <w:p>
      <w:pPr>
        <w:spacing w:after="40"/>
      </w:pPr>
    </w:p>
    <w:p>
      <w:pPr>
        <w:spacing w:after="40"/>
      </w:pPr>
    </w:p>
    <w:p>
      <w:pPr>
        <w:spacing w:after="120"/>
        <w:jc w:val="center"/>
      </w:pPr>
      <w:r>
        <w:rPr>
          <w:b/>
          <w:color w:val="0D1B3E"/>
          <w:sz w:val="56"/>
        </w:rPr>
        <w:t>Liquid Emissions Revenue Collection</w:t>
      </w:r>
    </w:p>
    <w:p>
      <w:pPr>
        <w:spacing w:after="120"/>
        <w:jc w:val="center"/>
      </w:pPr>
      <w:r>
        <w:rPr>
          <w:b/>
          <w:color w:val="008B8B"/>
          <w:sz w:val="40"/>
        </w:rPr>
        <w:t>Software Requirements Specification</w:t>
      </w:r>
    </w:p>
    <w:p>
      <w:pPr>
        <w:spacing w:after="120"/>
        <w:jc w:val="center"/>
      </w:pPr>
      <w:r>
        <w:rPr>
          <w:b w:val="0"/>
          <w:color w:val="444444"/>
          <w:sz w:val="24"/>
        </w:rPr>
        <w:t>SRS — Version 1.0</w:t>
      </w:r>
    </w:p>
    <w:p>
      <w:pPr>
        <w:spacing w:after="120"/>
        <w:jc w:val="center"/>
      </w:pPr>
      <w:r>
        <w:rPr>
          <w:b w:val="0"/>
          <w:color w:val="FFFFFF"/>
          <w:sz w:val="16"/>
        </w:rPr>
      </w:r>
    </w:p>
    <w:p>
      <w:pPr>
        <w:spacing w:after="120"/>
        <w:jc w:val="center"/>
      </w:pPr>
      <w:r>
        <w:rPr>
          <w:b w:val="0"/>
          <w:color w:val="1A2E4A"/>
          <w:sz w:val="20"/>
        </w:rPr>
        <w:t>Prepared by: MetronBase Labs</w:t>
      </w:r>
    </w:p>
    <w:p>
      <w:pPr>
        <w:spacing w:after="120"/>
        <w:jc w:val="center"/>
      </w:pPr>
      <w:r>
        <w:rPr>
          <w:b/>
          <w:color w:val="D47E00"/>
          <w:sz w:val="18"/>
        </w:rPr>
        <w:t>Classification: Confidential — Internal</w:t>
      </w:r>
    </w:p>
    <w:p>
      <w:pPr>
        <w:spacing w:after="120"/>
        <w:jc w:val="center"/>
      </w:pPr>
      <w:r>
        <w:rPr>
          <w:b w:val="0"/>
          <w:color w:val="808080"/>
          <w:sz w:val="18"/>
        </w:rPr>
        <w:t>Date: March 2026</w:t>
      </w:r>
    </w:p>
    <w:p>
      <w:r>
        <w:br w:type="page"/>
      </w:r>
    </w:p>
    <w:p>
      <w:pPr>
        <w:pBdr>
          <w:bottom w:val="single" w:sz="6" w:space="1" w:color="008B8B"/>
        </w:pBdr>
        <w:spacing w:before="400" w:after="120"/>
      </w:pPr>
      <w:r>
        <w:rPr>
          <w:b/>
          <w:color w:val="0D1B3E"/>
          <w:sz w:val="32"/>
        </w:rPr>
        <w:t>1. Introduction</w:t>
      </w:r>
    </w:p>
    <w:p>
      <w:pPr>
        <w:spacing w:before="240" w:after="80"/>
      </w:pPr>
      <w:r>
        <w:rPr>
          <w:b/>
          <w:color w:val="008B8B"/>
          <w:sz w:val="26"/>
        </w:rPr>
        <w:t>1.1  Purpose</w:t>
      </w:r>
    </w:p>
    <w:p>
      <w:pPr>
        <w:spacing w:after="80"/>
      </w:pPr>
      <w:r>
        <w:rPr>
          <w:i w:val="0"/>
          <w:sz w:val="20"/>
        </w:rPr>
        <w:t>This Software Requirements Specification (SRS) defines the functional and non-functional requirements for the Liquid Emissions Revenue Collection platform — a multi-tenant, multi-currency digital system that automates the collection, settlement, and reporting of ship emission fees at Nigerian ports.</w:t>
      </w:r>
    </w:p>
    <w:p>
      <w:pPr>
        <w:spacing w:after="80"/>
      </w:pPr>
      <w:r>
        <w:rPr>
          <w:i w:val="0"/>
          <w:sz w:val="20"/>
        </w:rPr>
        <w:t>The platform is operated by Blue Wave on behalf of NIMASA, and developed by MetronBase Labs / Liquid Payments. This document is the authoritative technical reference for all development phases and must be read alongside the Domain Model and Prisma Schema.</w:t>
      </w:r>
    </w:p>
    <w:p>
      <w:pPr>
        <w:spacing w:before="240" w:after="80"/>
      </w:pPr>
      <w:r>
        <w:rPr>
          <w:b/>
          <w:color w:val="008B8B"/>
          <w:sz w:val="26"/>
        </w:rPr>
        <w:t>1.2  Scope</w:t>
      </w:r>
    </w:p>
    <w:p>
      <w:pPr>
        <w:spacing w:after="80"/>
      </w:pPr>
      <w:r>
        <w:rPr>
          <w:i w:val="0"/>
          <w:sz w:val="20"/>
        </w:rPr>
        <w:t>The system covers:</w:t>
      </w:r>
    </w:p>
    <w:p>
      <w:pPr>
        <w:pStyle w:val="ListBullet"/>
      </w:pPr>
    </w:p>
    <w:p>
      <w:pPr>
        <w:spacing w:after="80"/>
        <w:ind w:left="360"/>
      </w:pPr>
      <w:r>
        <w:rPr>
          <w:i w:val="0"/>
          <w:sz w:val="20"/>
        </w:rPr>
        <w:t>•  Vessel operator account creation and identity management</w:t>
      </w:r>
    </w:p>
    <w:p>
      <w:pPr>
        <w:pStyle w:val="ListBullet"/>
      </w:pPr>
    </w:p>
    <w:p>
      <w:pPr>
        <w:spacing w:after="80"/>
        <w:ind w:left="360"/>
      </w:pPr>
      <w:r>
        <w:rPr>
          <w:i w:val="0"/>
          <w:sz w:val="20"/>
        </w:rPr>
        <w:t>•  Retrieval of emission assessment data from an external maritime authority system via Payment Reference ID</w:t>
      </w:r>
    </w:p>
    <w:p>
      <w:pPr>
        <w:pStyle w:val="ListBullet"/>
      </w:pPr>
    </w:p>
    <w:p>
      <w:pPr>
        <w:spacing w:after="80"/>
        <w:ind w:left="360"/>
      </w:pPr>
      <w:r>
        <w:rPr>
          <w:i w:val="0"/>
          <w:sz w:val="20"/>
        </w:rPr>
        <w:t>•  Collection of emission fees plus platform service charges in USD and NGN (crypto/stablecoin in a future phase)</w:t>
      </w:r>
    </w:p>
    <w:p>
      <w:pPr>
        <w:pStyle w:val="ListBullet"/>
      </w:pPr>
    </w:p>
    <w:p>
      <w:pPr>
        <w:spacing w:after="80"/>
        <w:ind w:left="360"/>
      </w:pPr>
      <w:r>
        <w:rPr>
          <w:i w:val="0"/>
          <w:sz w:val="20"/>
        </w:rPr>
        <w:t>•  Multi-party settlement disbursement: NIMASA, Port Authority, Blue Wave, Liquid Payments</w:t>
      </w:r>
    </w:p>
    <w:p>
      <w:pPr>
        <w:pStyle w:val="ListBullet"/>
      </w:pPr>
    </w:p>
    <w:p>
      <w:pPr>
        <w:spacing w:after="80"/>
        <w:ind w:left="360"/>
      </w:pPr>
      <w:r>
        <w:rPr>
          <w:i w:val="0"/>
          <w:sz w:val="20"/>
        </w:rPr>
        <w:t>•  Payouts to Nigerian bank accounts (NGN) and international accounts via Wise Business API (USD)</w:t>
      </w:r>
    </w:p>
    <w:p>
      <w:pPr>
        <w:pStyle w:val="ListBullet"/>
      </w:pPr>
    </w:p>
    <w:p>
      <w:pPr>
        <w:spacing w:after="80"/>
        <w:ind w:left="360"/>
      </w:pPr>
      <w:r>
        <w:rPr>
          <w:i w:val="0"/>
          <w:sz w:val="20"/>
        </w:rPr>
        <w:t>•  Audit trail, revenue reporting, and compliance exports</w:t>
      </w:r>
    </w:p>
    <w:p>
      <w:pPr>
        <w:pStyle w:val="ListBullet"/>
      </w:pPr>
    </w:p>
    <w:p>
      <w:pPr>
        <w:spacing w:after="80"/>
        <w:ind w:left="360"/>
      </w:pPr>
      <w:r>
        <w:rPr>
          <w:i w:val="0"/>
          <w:sz w:val="20"/>
        </w:rPr>
        <w:t>•  Notification delivery (email, in-app; SMS optional)</w:t>
      </w:r>
    </w:p>
    <w:p>
      <w:pPr>
        <w:spacing w:after="80"/>
      </w:pPr>
      <w:r>
        <w:rPr>
          <w:i w:val="0"/>
          <w:sz w:val="20"/>
        </w:rPr>
        <w:t>Out of scope for v1.0: vessel AIS/SEMSW sensor integration, own payment gateway, crypto collection.</w:t>
      </w:r>
    </w:p>
    <w:p>
      <w:pPr>
        <w:spacing w:before="240" w:after="80"/>
      </w:pPr>
      <w:r>
        <w:rPr>
          <w:b/>
          <w:color w:val="008B8B"/>
          <w:sz w:val="26"/>
        </w:rPr>
        <w:t>1.3  Definitions &amp; Acronyms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A2E4A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Term / Acronym</w:t>
            </w:r>
          </w:p>
        </w:tc>
        <w:tc>
          <w:tcPr>
            <w:tcW w:type="dxa" w:w="4703"/>
            <w:shd w:val="clear" w:color="auto" w:fill="1A2E4A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Definition</w:t>
            </w:r>
          </w:p>
        </w:tc>
      </w:tr>
      <w:tr>
        <w:tc>
          <w:tcPr>
            <w:tcW w:type="dxa" w:w="4703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AIS</w:t>
            </w:r>
          </w:p>
        </w:tc>
        <w:tc>
          <w:tcPr>
            <w:tcW w:type="dxa" w:w="4703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Automatic Identification System — vessel tracking</w:t>
            </w:r>
          </w:p>
        </w:tc>
      </w:tr>
      <w:tr>
        <w:tc>
          <w:tcPr>
            <w:tcW w:type="dxa" w:w="4703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BullMQ</w:t>
            </w:r>
          </w:p>
        </w:tc>
        <w:tc>
          <w:tcPr>
            <w:tcW w:type="dxa" w:w="4703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Redis-backed job queue library</w:t>
            </w:r>
          </w:p>
        </w:tc>
      </w:tr>
      <w:tr>
        <w:tc>
          <w:tcPr>
            <w:tcW w:type="dxa" w:w="4703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CO2e</w:t>
            </w:r>
          </w:p>
        </w:tc>
        <w:tc>
          <w:tcPr>
            <w:tcW w:type="dxa" w:w="4703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Carbon dioxide equivalent — standardised emission unit</w:t>
            </w:r>
          </w:p>
        </w:tc>
      </w:tr>
      <w:tr>
        <w:tc>
          <w:tcPr>
            <w:tcW w:type="dxa" w:w="4703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DPIA</w:t>
            </w:r>
          </w:p>
        </w:tc>
        <w:tc>
          <w:tcPr>
            <w:tcW w:type="dxa" w:w="4703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Data Privacy Impact Assessment</w:t>
            </w:r>
          </w:p>
        </w:tc>
      </w:tr>
      <w:tr>
        <w:tc>
          <w:tcPr>
            <w:tcW w:type="dxa" w:w="4703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FX</w:t>
            </w:r>
          </w:p>
        </w:tc>
        <w:tc>
          <w:tcPr>
            <w:tcW w:type="dxa" w:w="4703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Foreign Exchange rate</w:t>
            </w:r>
          </w:p>
        </w:tc>
      </w:tr>
      <w:tr>
        <w:tc>
          <w:tcPr>
            <w:tcW w:type="dxa" w:w="4703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GRT</w:t>
            </w:r>
          </w:p>
        </w:tc>
        <w:tc>
          <w:tcPr>
            <w:tcW w:type="dxa" w:w="4703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Gross Registered Tonnage</w:t>
            </w:r>
          </w:p>
        </w:tc>
      </w:tr>
      <w:tr>
        <w:tc>
          <w:tcPr>
            <w:tcW w:type="dxa" w:w="4703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IMO</w:t>
            </w:r>
          </w:p>
        </w:tc>
        <w:tc>
          <w:tcPr>
            <w:tcW w:type="dxa" w:w="4703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International Maritime Organization vessel number</w:t>
            </w:r>
          </w:p>
        </w:tc>
      </w:tr>
      <w:tr>
        <w:tc>
          <w:tcPr>
            <w:tcW w:type="dxa" w:w="4703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MARPOL</w:t>
            </w:r>
          </w:p>
        </w:tc>
        <w:tc>
          <w:tcPr>
            <w:tcW w:type="dxa" w:w="4703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International Convention for the Prevention of Pollution from Ships</w:t>
            </w:r>
          </w:p>
        </w:tc>
      </w:tr>
      <w:tr>
        <w:tc>
          <w:tcPr>
            <w:tcW w:type="dxa" w:w="4703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NDPR</w:t>
            </w:r>
          </w:p>
        </w:tc>
        <w:tc>
          <w:tcPr>
            <w:tcW w:type="dxa" w:w="4703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Nigeria Data Protection Regulation</w:t>
            </w:r>
          </w:p>
        </w:tc>
      </w:tr>
      <w:tr>
        <w:tc>
          <w:tcPr>
            <w:tcW w:type="dxa" w:w="4703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NIMASA</w:t>
            </w:r>
          </w:p>
        </w:tc>
        <w:tc>
          <w:tcPr>
            <w:tcW w:type="dxa" w:w="4703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Nigerian Maritime Administration and Safety Agency</w:t>
            </w:r>
          </w:p>
        </w:tc>
      </w:tr>
      <w:tr>
        <w:tc>
          <w:tcPr>
            <w:tcW w:type="dxa" w:w="4703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Payment Ref ID</w:t>
            </w:r>
          </w:p>
        </w:tc>
        <w:tc>
          <w:tcPr>
            <w:tcW w:type="dxa" w:w="4703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Unique reference issued by the external emission authority to vessel operators</w:t>
            </w:r>
          </w:p>
        </w:tc>
      </w:tr>
      <w:tr>
        <w:tc>
          <w:tcPr>
            <w:tcW w:type="dxa" w:w="4703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PCI-DSS</w:t>
            </w:r>
          </w:p>
        </w:tc>
        <w:tc>
          <w:tcPr>
            <w:tcW w:type="dxa" w:w="4703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Payment Card Industry Data Security Standard</w:t>
            </w:r>
          </w:p>
        </w:tc>
      </w:tr>
      <w:tr>
        <w:tc>
          <w:tcPr>
            <w:tcW w:type="dxa" w:w="4703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PRD</w:t>
            </w:r>
          </w:p>
        </w:tc>
        <w:tc>
          <w:tcPr>
            <w:tcW w:type="dxa" w:w="4703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Product Requirements Document</w:t>
            </w:r>
          </w:p>
        </w:tc>
      </w:tr>
      <w:tr>
        <w:tc>
          <w:tcPr>
            <w:tcW w:type="dxa" w:w="4703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RBAC</w:t>
            </w:r>
          </w:p>
        </w:tc>
        <w:tc>
          <w:tcPr>
            <w:tcW w:type="dxa" w:w="4703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Role-Based Access Control</w:t>
            </w:r>
          </w:p>
        </w:tc>
      </w:tr>
      <w:tr>
        <w:tc>
          <w:tcPr>
            <w:tcW w:type="dxa" w:w="4703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SEMSW</w:t>
            </w:r>
          </w:p>
        </w:tc>
        <w:tc>
          <w:tcPr>
            <w:tcW w:type="dxa" w:w="4703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Ship Emission Monitoring System with Wireless — physical sensor system</w:t>
            </w:r>
          </w:p>
        </w:tc>
      </w:tr>
      <w:tr>
        <w:tc>
          <w:tcPr>
            <w:tcW w:type="dxa" w:w="4703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SRS</w:t>
            </w:r>
          </w:p>
        </w:tc>
        <w:tc>
          <w:tcPr>
            <w:tcW w:type="dxa" w:w="4703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This document — Software Requirements Specification</w:t>
            </w:r>
          </w:p>
        </w:tc>
      </w:tr>
      <w:tr>
        <w:tc>
          <w:tcPr>
            <w:tcW w:type="dxa" w:w="4703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TOTP</w:t>
            </w:r>
          </w:p>
        </w:tc>
        <w:tc>
          <w:tcPr>
            <w:tcW w:type="dxa" w:w="4703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Time-based One-Time Password (2FA)</w:t>
            </w:r>
          </w:p>
        </w:tc>
      </w:tr>
      <w:tr>
        <w:tc>
          <w:tcPr>
            <w:tcW w:type="dxa" w:w="4703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USDT / USDC</w:t>
            </w:r>
          </w:p>
        </w:tc>
        <w:tc>
          <w:tcPr>
            <w:tcW w:type="dxa" w:w="4703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USD-pegged stablecoins (Tether / Circle)</w:t>
            </w:r>
          </w:p>
        </w:tc>
      </w:tr>
    </w:tbl>
    <w:p/>
    <w:p>
      <w:pPr>
        <w:spacing w:before="240" w:after="80"/>
      </w:pPr>
      <w:r>
        <w:rPr>
          <w:b/>
          <w:color w:val="008B8B"/>
          <w:sz w:val="26"/>
        </w:rPr>
        <w:t>1.4  References</w:t>
      </w:r>
    </w:p>
    <w:p>
      <w:pPr>
        <w:pStyle w:val="ListBullet"/>
      </w:pPr>
    </w:p>
    <w:p>
      <w:pPr>
        <w:spacing w:after="80"/>
        <w:ind w:left="360"/>
      </w:pPr>
      <w:r>
        <w:rPr>
          <w:i w:val="0"/>
          <w:sz w:val="20"/>
        </w:rPr>
        <w:t>•  Liquid Emissions Revenue Collection.docx — Product Requirements Document (PRD)</w:t>
      </w:r>
    </w:p>
    <w:p>
      <w:pPr>
        <w:pStyle w:val="ListBullet"/>
      </w:pPr>
    </w:p>
    <w:p>
      <w:pPr>
        <w:spacing w:after="80"/>
        <w:ind w:left="360"/>
      </w:pPr>
      <w:r>
        <w:rPr>
          <w:i w:val="0"/>
          <w:sz w:val="20"/>
        </w:rPr>
        <w:t>•  Liquid_Emissions_Domain_Model (1).pdf — DDD Strategic &amp; Tactical Domain Model</w:t>
      </w:r>
    </w:p>
    <w:p>
      <w:pPr>
        <w:pStyle w:val="ListBullet"/>
      </w:pPr>
    </w:p>
    <w:p>
      <w:pPr>
        <w:spacing w:after="80"/>
        <w:ind w:left="360"/>
      </w:pPr>
      <w:r>
        <w:rPr>
          <w:i w:val="0"/>
          <w:sz w:val="20"/>
        </w:rPr>
        <w:t>•  Liquid_Emissions_Prisma_Schema.docx — Full Prisma Database Schema</w:t>
      </w:r>
    </w:p>
    <w:p>
      <w:pPr>
        <w:pStyle w:val="ListBullet"/>
      </w:pPr>
    </w:p>
    <w:p>
      <w:pPr>
        <w:spacing w:after="80"/>
        <w:ind w:left="360"/>
      </w:pPr>
      <w:r>
        <w:rPr>
          <w:i w:val="0"/>
          <w:sz w:val="20"/>
        </w:rPr>
        <w:t>•  Emmission Fees (1).pdf — Emission Fee Comparison: EU ETS / US / Nigeria</w:t>
      </w:r>
    </w:p>
    <w:p>
      <w:pPr>
        <w:pStyle w:val="ListBullet"/>
      </w:pPr>
    </w:p>
    <w:p>
      <w:pPr>
        <w:spacing w:after="80"/>
        <w:ind w:left="360"/>
      </w:pPr>
      <w:r>
        <w:rPr>
          <w:i w:val="0"/>
          <w:sz w:val="20"/>
        </w:rPr>
        <w:t>•  emissions implementation (1).pdf — SEMSW Physical Monitoring Technology</w:t>
      </w:r>
    </w:p>
    <w:p>
      <w:pPr>
        <w:pStyle w:val="ListBullet"/>
      </w:pPr>
    </w:p>
    <w:p>
      <w:pPr>
        <w:spacing w:after="80"/>
        <w:ind w:left="360"/>
      </w:pPr>
      <w:r>
        <w:rPr>
          <w:i w:val="0"/>
          <w:sz w:val="20"/>
        </w:rPr>
        <w:t>•  MetronBase_Labs_Playbook.docx — Agency Process &amp; Document Framework</w:t>
      </w:r>
    </w:p>
    <w:p>
      <w:pPr>
        <w:pStyle w:val="ListBullet"/>
      </w:pPr>
    </w:p>
    <w:p>
      <w:pPr>
        <w:spacing w:after="80"/>
        <w:ind w:left="360"/>
      </w:pPr>
      <w:r>
        <w:rPr>
          <w:i w:val="0"/>
          <w:sz w:val="20"/>
        </w:rPr>
        <w:t>•  MARPOL Annex VI — IMO Emission Standards Reference</w:t>
      </w:r>
    </w:p>
    <w:p>
      <w:pPr>
        <w:pStyle w:val="ListBullet"/>
      </w:pPr>
    </w:p>
    <w:p>
      <w:pPr>
        <w:spacing w:after="80"/>
        <w:ind w:left="360"/>
      </w:pPr>
      <w:r>
        <w:rPr>
          <w:i w:val="0"/>
          <w:sz w:val="20"/>
        </w:rPr>
        <w:t>•  NDPR 2019 / GDPR 2018 — Data Protection Compliance Frameworks</w:t>
      </w:r>
    </w:p>
    <w:p>
      <w:pPr>
        <w:pBdr>
          <w:bottom w:val="single" w:sz="6" w:space="1" w:color="008B8B"/>
        </w:pBdr>
        <w:spacing w:before="400" w:after="120"/>
      </w:pPr>
      <w:r>
        <w:rPr>
          <w:b/>
          <w:color w:val="0D1B3E"/>
          <w:sz w:val="32"/>
        </w:rPr>
        <w:t>2. Overall Description</w:t>
      </w:r>
    </w:p>
    <w:p>
      <w:pPr>
        <w:spacing w:before="240" w:after="80"/>
      </w:pPr>
      <w:r>
        <w:rPr>
          <w:b/>
          <w:color w:val="008B8B"/>
          <w:sz w:val="26"/>
        </w:rPr>
        <w:t>2.1  Product Perspective</w:t>
      </w:r>
    </w:p>
    <w:p>
      <w:pPr>
        <w:spacing w:after="80"/>
      </w:pPr>
      <w:r>
        <w:rPr>
          <w:i w:val="0"/>
          <w:sz w:val="20"/>
        </w:rPr>
        <w:t>The Liquid Emissions platform is a standalone web application that sits at the intersection of maritime compliance, fintech, and government revenue collection. It does not generate emission assessments — it consumes them from an authoritative external system and provides the payment, settlement, and reporting infrastructure on top.</w:t>
      </w:r>
    </w:p>
    <w:p>
      <w:pPr>
        <w:spacing w:after="80"/>
      </w:pPr>
      <w:r>
        <w:rPr>
          <w:i w:val="0"/>
          <w:sz w:val="20"/>
        </w:rPr>
        <w:t>The system integrates with: (a) an external maritime emission authority API, (b) payment gateways (Paystack, Flutterwave), (c) a payout provider (Wise Business API for USD; Paystack/Flutterwave Transfer API for NGN), and (d) an email/SMS notification provider.</w:t>
      </w:r>
    </w:p>
    <w:p>
      <w:pPr>
        <w:spacing w:before="240" w:after="80"/>
      </w:pPr>
      <w:r>
        <w:rPr>
          <w:b/>
          <w:color w:val="008B8B"/>
          <w:sz w:val="26"/>
        </w:rPr>
        <w:t>2.2  Core User Flow (Happy Path)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A2E4A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Step</w:t>
            </w:r>
          </w:p>
        </w:tc>
        <w:tc>
          <w:tcPr>
            <w:tcW w:type="dxa" w:w="4703"/>
            <w:shd w:val="clear" w:color="auto" w:fill="1A2E4A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Action</w:t>
            </w:r>
          </w:p>
        </w:tc>
      </w:tr>
      <w:tr>
        <w:tc>
          <w:tcPr>
            <w:tcW w:type="dxa" w:w="4703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1</w:t>
            </w:r>
          </w:p>
        </w:tc>
        <w:tc>
          <w:tcPr>
            <w:tcW w:type="dxa" w:w="4703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External emission authority assesses a vessel voyage and generates an emission record with a unique Payment Reference ID</w:t>
            </w:r>
          </w:p>
        </w:tc>
      </w:tr>
      <w:tr>
        <w:tc>
          <w:tcPr>
            <w:tcW w:type="dxa" w:w="4703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2</w:t>
            </w:r>
          </w:p>
        </w:tc>
        <w:tc>
          <w:tcPr>
            <w:tcW w:type="dxa" w:w="4703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Port authority / NIMASA notifies the vessel operator (by email or physical document) of their Payment Reference ID and amount due</w:t>
            </w:r>
          </w:p>
        </w:tc>
      </w:tr>
      <w:tr>
        <w:tc>
          <w:tcPr>
            <w:tcW w:type="dxa" w:w="4703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3</w:t>
            </w:r>
          </w:p>
        </w:tc>
        <w:tc>
          <w:tcPr>
            <w:tcW w:type="dxa" w:w="4703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Vessel operator logs in to the platform (account required — no guest access)</w:t>
            </w:r>
          </w:p>
        </w:tc>
      </w:tr>
      <w:tr>
        <w:tc>
          <w:tcPr>
            <w:tcW w:type="dxa" w:w="4703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4</w:t>
            </w:r>
          </w:p>
        </w:tc>
        <w:tc>
          <w:tcPr>
            <w:tcW w:type="dxa" w:w="4703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Operator enters their Payment Reference ID</w:t>
            </w:r>
          </w:p>
        </w:tc>
      </w:tr>
      <w:tr>
        <w:tc>
          <w:tcPr>
            <w:tcW w:type="dxa" w:w="4703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5</w:t>
            </w:r>
          </w:p>
        </w:tc>
        <w:tc>
          <w:tcPr>
            <w:tcW w:type="dxa" w:w="4703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Platform calls the external system API, retrieves assessment data (fee amount, vessel info, voyage details)</w:t>
            </w:r>
          </w:p>
        </w:tc>
      </w:tr>
      <w:tr>
        <w:tc>
          <w:tcPr>
            <w:tcW w:type="dxa" w:w="4703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6</w:t>
            </w:r>
          </w:p>
        </w:tc>
        <w:tc>
          <w:tcPr>
            <w:tcW w:type="dxa" w:w="4703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Platform creates a PaymentOrder: base emission fee + platform service charge, denominated in USD</w:t>
            </w:r>
          </w:p>
        </w:tc>
      </w:tr>
      <w:tr>
        <w:tc>
          <w:tcPr>
            <w:tcW w:type="dxa" w:w="4703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7</w:t>
            </w:r>
          </w:p>
        </w:tc>
        <w:tc>
          <w:tcPr>
            <w:tcW w:type="dxa" w:w="4703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Operator selects payment currency (USD or NGN); platform locks FX rate for NGN at that moment</w:t>
            </w:r>
          </w:p>
        </w:tc>
      </w:tr>
      <w:tr>
        <w:tc>
          <w:tcPr>
            <w:tcW w:type="dxa" w:w="4703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8</w:t>
            </w:r>
          </w:p>
        </w:tc>
        <w:tc>
          <w:tcPr>
            <w:tcW w:type="dxa" w:w="4703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Payment processed via Paystack or Flutterwave; webhook confirms completion</w:t>
            </w:r>
          </w:p>
        </w:tc>
      </w:tr>
      <w:tr>
        <w:tc>
          <w:tcPr>
            <w:tcW w:type="dxa" w:w="4703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9</w:t>
            </w:r>
          </w:p>
        </w:tc>
        <w:tc>
          <w:tcPr>
            <w:tcW w:type="dxa" w:w="4703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Platform triggers settlement: wallets credited per SplitRule (NIMASA, Port Authority, Blue Wave, Liquid Payments)</w:t>
            </w:r>
          </w:p>
        </w:tc>
      </w:tr>
      <w:tr>
        <w:tc>
          <w:tcPr>
            <w:tcW w:type="dxa" w:w="4703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10</w:t>
            </w:r>
          </w:p>
        </w:tc>
        <w:tc>
          <w:tcPr>
            <w:tcW w:type="dxa" w:w="4703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Receipt emailed to operator; domain events recorded to outbox; notification dispatched to external system</w:t>
            </w:r>
          </w:p>
        </w:tc>
      </w:tr>
    </w:tbl>
    <w:p/>
    <w:p>
      <w:pPr>
        <w:spacing w:before="240" w:after="80"/>
      </w:pPr>
      <w:r>
        <w:rPr>
          <w:b/>
          <w:color w:val="008B8B"/>
          <w:sz w:val="26"/>
        </w:rPr>
        <w:t>2.3  User Classes &amp; Characteristics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2E4A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User Class</w:t>
            </w:r>
          </w:p>
        </w:tc>
        <w:tc>
          <w:tcPr>
            <w:tcW w:type="dxa" w:w="3135"/>
            <w:shd w:val="clear" w:color="auto" w:fill="1A2E4A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Role</w:t>
            </w:r>
          </w:p>
        </w:tc>
        <w:tc>
          <w:tcPr>
            <w:tcW w:type="dxa" w:w="3135"/>
            <w:shd w:val="clear" w:color="auto" w:fill="1A2E4A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Characteristics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Vessel Operator</w:t>
            </w:r>
          </w:p>
        </w:tc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OPERATOR</w:t>
            </w:r>
          </w:p>
        </w:tc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Pays emission fees. Manages their organisation's vessels. Views payment history and receipts.</w:t>
            </w:r>
          </w:p>
        </w:tc>
      </w:tr>
      <w:tr>
        <w:tc>
          <w:tcPr>
            <w:tcW w:type="dxa" w:w="313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Finance Officer</w:t>
            </w:r>
          </w:p>
        </w:tc>
        <w:tc>
          <w:tcPr>
            <w:tcW w:type="dxa" w:w="313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FINANCE</w:t>
            </w:r>
          </w:p>
        </w:tc>
        <w:tc>
          <w:tcPr>
            <w:tcW w:type="dxa" w:w="313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Views settlement statements, wallet balances, payout history for their organisation.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Platform Admin</w:t>
            </w:r>
          </w:p>
        </w:tc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ADMIN</w:t>
            </w:r>
          </w:p>
        </w:tc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Manages organisations, users, fee schedules, split rules, gateways. Requires 2FA.</w:t>
            </w:r>
          </w:p>
        </w:tc>
      </w:tr>
      <w:tr>
        <w:tc>
          <w:tcPr>
            <w:tcW w:type="dxa" w:w="313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Auditor</w:t>
            </w:r>
          </w:p>
        </w:tc>
        <w:tc>
          <w:tcPr>
            <w:tcW w:type="dxa" w:w="313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AUDITOR</w:t>
            </w:r>
          </w:p>
        </w:tc>
        <w:tc>
          <w:tcPr>
            <w:tcW w:type="dxa" w:w="313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Read-only access across all data. Cannot modify any record.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System / Webhook</w:t>
            </w:r>
          </w:p>
        </w:tc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SYSTEM</w:t>
            </w:r>
          </w:p>
        </w:tc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Internal service account for gateway webhooks and external API callbacks.</w:t>
            </w:r>
          </w:p>
        </w:tc>
      </w:tr>
    </w:tbl>
    <w:p/>
    <w:p>
      <w:pPr>
        <w:spacing w:before="240" w:after="80"/>
      </w:pPr>
      <w:r>
        <w:rPr>
          <w:b/>
          <w:color w:val="008B8B"/>
          <w:sz w:val="26"/>
        </w:rPr>
        <w:t>2.4  Operating Environment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A2E4A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Environment Component</w:t>
            </w:r>
          </w:p>
        </w:tc>
        <w:tc>
          <w:tcPr>
            <w:tcW w:type="dxa" w:w="4703"/>
            <w:shd w:val="clear" w:color="auto" w:fill="1A2E4A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4703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Cloud Provider</w:t>
            </w:r>
          </w:p>
        </w:tc>
        <w:tc>
          <w:tcPr>
            <w:tcW w:type="dxa" w:w="4703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Railway (PostgreSQL managed) + any VPS/cloud for API containers</w:t>
            </w:r>
          </w:p>
        </w:tc>
      </w:tr>
      <w:tr>
        <w:tc>
          <w:tcPr>
            <w:tcW w:type="dxa" w:w="4703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Frontend</w:t>
            </w:r>
          </w:p>
        </w:tc>
        <w:tc>
          <w:tcPr>
            <w:tcW w:type="dxa" w:w="4703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Next.js 14 — deployed to Vercel or equivalent CDN-backed host</w:t>
            </w:r>
          </w:p>
        </w:tc>
      </w:tr>
      <w:tr>
        <w:tc>
          <w:tcPr>
            <w:tcW w:type="dxa" w:w="4703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Backend</w:t>
            </w:r>
          </w:p>
        </w:tc>
        <w:tc>
          <w:tcPr>
            <w:tcW w:type="dxa" w:w="4703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Node.js + Express — containerised, horizontally scalable</w:t>
            </w:r>
          </w:p>
        </w:tc>
      </w:tr>
      <w:tr>
        <w:tc>
          <w:tcPr>
            <w:tcW w:type="dxa" w:w="4703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Database</w:t>
            </w:r>
          </w:p>
        </w:tc>
        <w:tc>
          <w:tcPr>
            <w:tcW w:type="dxa" w:w="4703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PostgreSQL 15 (Railway managed)</w:t>
            </w:r>
          </w:p>
        </w:tc>
      </w:tr>
      <w:tr>
        <w:tc>
          <w:tcPr>
            <w:tcW w:type="dxa" w:w="4703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Cache / Queue</w:t>
            </w:r>
          </w:p>
        </w:tc>
        <w:tc>
          <w:tcPr>
            <w:tcW w:type="dxa" w:w="4703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Redis (Upstash or self-hosted) + BullMQ</w:t>
            </w:r>
          </w:p>
        </w:tc>
      </w:tr>
      <w:tr>
        <w:tc>
          <w:tcPr>
            <w:tcW w:type="dxa" w:w="4703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Payment Gateways</w:t>
            </w:r>
          </w:p>
        </w:tc>
        <w:tc>
          <w:tcPr>
            <w:tcW w:type="dxa" w:w="4703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Paystack (NGN primary), Flutterwave (USD + NGN)</w:t>
            </w:r>
          </w:p>
        </w:tc>
      </w:tr>
      <w:tr>
        <w:tc>
          <w:tcPr>
            <w:tcW w:type="dxa" w:w="4703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USD Payout</w:t>
            </w:r>
          </w:p>
        </w:tc>
        <w:tc>
          <w:tcPr>
            <w:tcW w:type="dxa" w:w="4703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Wise Business API (primary); Flutterwave wire (fallback)</w:t>
            </w:r>
          </w:p>
        </w:tc>
      </w:tr>
      <w:tr>
        <w:tc>
          <w:tcPr>
            <w:tcW w:type="dxa" w:w="4703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NGN Payout</w:t>
            </w:r>
          </w:p>
        </w:tc>
        <w:tc>
          <w:tcPr>
            <w:tcW w:type="dxa" w:w="4703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Paystack Transfer API + Flutterwave Transfer API</w:t>
            </w:r>
          </w:p>
        </w:tc>
      </w:tr>
      <w:tr>
        <w:tc>
          <w:tcPr>
            <w:tcW w:type="dxa" w:w="4703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Notification</w:t>
            </w:r>
          </w:p>
        </w:tc>
        <w:tc>
          <w:tcPr>
            <w:tcW w:type="dxa" w:w="4703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SendGrid / Mailgun (email); Termii / Africa's Talking (SMS)</w:t>
            </w:r>
          </w:p>
        </w:tc>
      </w:tr>
      <w:tr>
        <w:tc>
          <w:tcPr>
            <w:tcW w:type="dxa" w:w="4703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Browser Support</w:t>
            </w:r>
          </w:p>
        </w:tc>
        <w:tc>
          <w:tcPr>
            <w:tcW w:type="dxa" w:w="4703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Chrome, Firefox, Edge, Safari — latest two major versions</w:t>
            </w:r>
          </w:p>
        </w:tc>
      </w:tr>
      <w:tr>
        <w:tc>
          <w:tcPr>
            <w:tcW w:type="dxa" w:w="4703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Mobile</w:t>
            </w:r>
          </w:p>
        </w:tc>
        <w:tc>
          <w:tcPr>
            <w:tcW w:type="dxa" w:w="4703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Responsive web; no native mobile app in v1.0</w:t>
            </w:r>
          </w:p>
        </w:tc>
      </w:tr>
    </w:tbl>
    <w:p/>
    <w:p>
      <w:pPr>
        <w:spacing w:before="240" w:after="80"/>
      </w:pPr>
      <w:r>
        <w:rPr>
          <w:b/>
          <w:color w:val="008B8B"/>
          <w:sz w:val="26"/>
        </w:rPr>
        <w:t>2.5  Assumptions &amp; Dependencies</w:t>
      </w:r>
    </w:p>
    <w:p>
      <w:pPr>
        <w:pStyle w:val="ListBullet"/>
      </w:pPr>
    </w:p>
    <w:p>
      <w:pPr>
        <w:spacing w:after="80"/>
        <w:ind w:left="360"/>
      </w:pPr>
      <w:r>
        <w:rPr>
          <w:i w:val="0"/>
          <w:sz w:val="20"/>
        </w:rPr>
        <w:t>•  The external maritime emission authority exposes a REST or SOAP API that accepts a Payment Reference ID and returns structured assessment data.</w:t>
      </w:r>
    </w:p>
    <w:p>
      <w:pPr>
        <w:pStyle w:val="ListBullet"/>
      </w:pPr>
    </w:p>
    <w:p>
      <w:pPr>
        <w:spacing w:after="80"/>
        <w:ind w:left="360"/>
      </w:pPr>
      <w:r>
        <w:rPr>
          <w:i w:val="0"/>
          <w:sz w:val="20"/>
        </w:rPr>
        <w:t>•  The external API returns either a pre-calculated fee amount in USD, or sufficient raw inputs (fuel consumed, emission factor) for the platform to calculate fee independently.</w:t>
      </w:r>
    </w:p>
    <w:p>
      <w:pPr>
        <w:pStyle w:val="ListBullet"/>
      </w:pPr>
    </w:p>
    <w:p>
      <w:pPr>
        <w:spacing w:after="80"/>
        <w:ind w:left="360"/>
      </w:pPr>
      <w:r>
        <w:rPr>
          <w:i w:val="0"/>
          <w:sz w:val="20"/>
        </w:rPr>
        <w:t>•  All vessels subject to fees are ≥ 5,000 GRT, per MARPOL and NIMASA regulatory scope.</w:t>
      </w:r>
    </w:p>
    <w:p>
      <w:pPr>
        <w:pStyle w:val="ListBullet"/>
      </w:pPr>
    </w:p>
    <w:p>
      <w:pPr>
        <w:spacing w:after="80"/>
        <w:ind w:left="360"/>
      </w:pPr>
      <w:r>
        <w:rPr>
          <w:i w:val="0"/>
          <w:sz w:val="20"/>
        </w:rPr>
        <w:t>•  The fixed base emission fee is USD 100 per ton CO2e; the platform service charge is configured separately in the FeeSchedule.</w:t>
      </w:r>
    </w:p>
    <w:p>
      <w:pPr>
        <w:pStyle w:val="ListBullet"/>
      </w:pPr>
    </w:p>
    <w:p>
      <w:pPr>
        <w:spacing w:after="80"/>
        <w:ind w:left="360"/>
      </w:pPr>
      <w:r>
        <w:rPr>
          <w:i w:val="0"/>
          <w:sz w:val="20"/>
        </w:rPr>
        <w:t>•  Paystack supports USD card collection for international vessel operators.</w:t>
      </w:r>
    </w:p>
    <w:p>
      <w:pPr>
        <w:pStyle w:val="ListBullet"/>
      </w:pPr>
    </w:p>
    <w:p>
      <w:pPr>
        <w:spacing w:after="80"/>
        <w:ind w:left="360"/>
      </w:pPr>
      <w:r>
        <w:rPr>
          <w:i w:val="0"/>
          <w:sz w:val="20"/>
        </w:rPr>
        <w:t>•  Flutterwave provides USD collection for international payments.</w:t>
      </w:r>
    </w:p>
    <w:p>
      <w:pPr>
        <w:pStyle w:val="ListBullet"/>
      </w:pPr>
    </w:p>
    <w:p>
      <w:pPr>
        <w:spacing w:after="80"/>
        <w:ind w:left="360"/>
      </w:pPr>
      <w:r>
        <w:rPr>
          <w:i w:val="0"/>
          <w:sz w:val="20"/>
        </w:rPr>
        <w:t>•  Wise Business API is available for the platform's operational entity and supports NGN → USD and USD payout flows.</w:t>
      </w:r>
    </w:p>
    <w:p>
      <w:pPr>
        <w:pStyle w:val="ListBullet"/>
      </w:pPr>
    </w:p>
    <w:p>
      <w:pPr>
        <w:spacing w:after="80"/>
        <w:ind w:left="360"/>
      </w:pPr>
      <w:r>
        <w:rPr>
          <w:i w:val="0"/>
          <w:sz w:val="20"/>
        </w:rPr>
        <w:t>•  NIMASA and Port Authority payout bank accounts are pre-registered in the system before settlement disbursements begin.</w:t>
      </w:r>
    </w:p>
    <w:p>
      <w:pPr>
        <w:pStyle w:val="ListBullet"/>
      </w:pPr>
    </w:p>
    <w:p>
      <w:pPr>
        <w:spacing w:after="80"/>
        <w:ind w:left="360"/>
      </w:pPr>
      <w:r>
        <w:rPr>
          <w:i w:val="0"/>
          <w:sz w:val="20"/>
        </w:rPr>
        <w:t>•  The platform will not store raw card data; PCI-DSS scope is SAQ-A (fully hosted gateway pages).</w:t>
      </w:r>
    </w:p>
    <w:p>
      <w:pPr>
        <w:pStyle w:val="ListBullet"/>
      </w:pPr>
    </w:p>
    <w:p>
      <w:pPr>
        <w:spacing w:after="80"/>
        <w:ind w:left="360"/>
      </w:pPr>
      <w:r>
        <w:rPr>
          <w:i w:val="0"/>
          <w:sz w:val="20"/>
        </w:rPr>
        <w:t>•  FX rates for NGN/USD are fetched from a live rate provider at payment initiation and locked for the life of the PaymentOrder.</w:t>
      </w:r>
    </w:p>
    <w:p>
      <w:pPr>
        <w:pBdr>
          <w:bottom w:val="single" w:sz="6" w:space="1" w:color="008B8B"/>
        </w:pBdr>
        <w:spacing w:before="400" w:after="120"/>
      </w:pPr>
      <w:r>
        <w:rPr>
          <w:b/>
          <w:color w:val="0D1B3E"/>
          <w:sz w:val="32"/>
        </w:rPr>
        <w:t>3. External System Integration — Emission Authority API</w:t>
      </w:r>
    </w:p>
    <w:p>
      <w:pPr>
        <w:spacing w:after="80"/>
      </w:pPr>
      <w:r>
        <w:rPr>
          <w:i w:val="0"/>
          <w:sz w:val="20"/>
        </w:rPr>
        <w:t>The emission data pipeline is the most critical external dependency. The platform does not generate emission assessments — it acts as the collection layer on top of the maritime authority's assessment engine. This section defines the integration contract.</w:t>
      </w:r>
    </w:p>
    <w:p>
      <w:pPr>
        <w:spacing w:before="240" w:after="80"/>
      </w:pPr>
      <w:r>
        <w:rPr>
          <w:b/>
          <w:color w:val="008B8B"/>
          <w:sz w:val="26"/>
        </w:rPr>
        <w:t>3.1  Payment Reference ID Flow</w:t>
      </w:r>
    </w:p>
    <w:p>
      <w:pPr>
        <w:spacing w:after="80"/>
      </w:pPr>
      <w:r>
        <w:rPr>
          <w:i w:val="0"/>
          <w:sz w:val="20"/>
        </w:rPr>
        <w:t>The Payment Reference ID (hereafter "Payment Ref ID") is a unique, opaque token or structured reference number generated by the external maritime authority system when a vessel's emission assessment is finalised. It is the primary key linking the platform's PaymentOrder to the authority's assessment record.</w:t>
      </w:r>
    </w:p>
    <w:p>
      <w:pPr>
        <w:spacing w:before="240" w:after="80"/>
      </w:pPr>
      <w:r>
        <w:rPr>
          <w:b/>
          <w:color w:val="008B8B"/>
          <w:sz w:val="26"/>
        </w:rPr>
        <w:t>3.2  External API Contract (Required Capabilities)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2E4A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Endpoint / Capability</w:t>
            </w:r>
          </w:p>
        </w:tc>
        <w:tc>
          <w:tcPr>
            <w:tcW w:type="dxa" w:w="3135"/>
            <w:shd w:val="clear" w:color="auto" w:fill="1A2E4A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3135"/>
            <w:shd w:val="clear" w:color="auto" w:fill="1A2E4A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v1.0 Status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GET /assessment/{paymentRefId}</w:t>
            </w:r>
          </w:p>
        </w:tc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Fetch assessment data by Payment Ref ID</w:t>
            </w:r>
          </w:p>
        </w:tc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REQUIRED</w:t>
            </w:r>
          </w:p>
        </w:tc>
      </w:tr>
      <w:tr>
        <w:tc>
          <w:tcPr>
            <w:tcW w:type="dxa" w:w="313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POST /payment-confirmation</w:t>
            </w:r>
          </w:p>
        </w:tc>
        <w:tc>
          <w:tcPr>
            <w:tcW w:type="dxa" w:w="313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Notify external system of successful payment; send receipt reference</w:t>
            </w:r>
          </w:p>
        </w:tc>
        <w:tc>
          <w:tcPr>
            <w:tcW w:type="dxa" w:w="313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REQUIRED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GET /assessment/status/{id}</w:t>
            </w:r>
          </w:p>
        </w:tc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Check whether an assessment has already been paid (idempotency guard)</w:t>
            </w:r>
          </w:p>
        </w:tc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REQUIRED</w:t>
            </w:r>
          </w:p>
        </w:tc>
      </w:tr>
      <w:tr>
        <w:tc>
          <w:tcPr>
            <w:tcW w:type="dxa" w:w="313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GET /vessel/{imoNumber}</w:t>
            </w:r>
          </w:p>
        </w:tc>
        <w:tc>
          <w:tcPr>
            <w:tcW w:type="dxa" w:w="313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Fetch vessel profile by IMO number for display/validation</w:t>
            </w:r>
          </w:p>
        </w:tc>
        <w:tc>
          <w:tcPr>
            <w:tcW w:type="dxa" w:w="313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OPTIONAL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Webhook (inbound)</w:t>
            </w:r>
          </w:p>
        </w:tc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External system may push updated assessment data to platform</w:t>
            </w:r>
          </w:p>
        </w:tc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FUTURE</w:t>
            </w:r>
          </w:p>
        </w:tc>
      </w:tr>
    </w:tbl>
    <w:p/>
    <w:p>
      <w:pPr>
        <w:spacing w:before="240" w:after="80"/>
      </w:pPr>
      <w:r>
        <w:rPr>
          <w:b/>
          <w:color w:val="008B8B"/>
          <w:sz w:val="26"/>
        </w:rPr>
        <w:t>3.3  Assessment Response Payload (Expected Fields)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A2E4A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6"/>
              </w:rPr>
              <w:t>Field</w:t>
            </w:r>
          </w:p>
        </w:tc>
        <w:tc>
          <w:tcPr>
            <w:tcW w:type="dxa" w:w="2351"/>
            <w:shd w:val="clear" w:color="auto" w:fill="1A2E4A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6"/>
              </w:rPr>
              <w:t>Type</w:t>
            </w:r>
          </w:p>
        </w:tc>
        <w:tc>
          <w:tcPr>
            <w:tcW w:type="dxa" w:w="2351"/>
            <w:shd w:val="clear" w:color="auto" w:fill="1A2E4A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6"/>
              </w:rPr>
              <w:t>Requirement</w:t>
            </w:r>
          </w:p>
        </w:tc>
        <w:tc>
          <w:tcPr>
            <w:tcW w:type="dxa" w:w="2351"/>
            <w:shd w:val="clear" w:color="auto" w:fill="1A2E4A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6"/>
              </w:rPr>
              <w:t>Description</w:t>
            </w:r>
          </w:p>
        </w:tc>
      </w:tr>
      <w:tr>
        <w:tc>
          <w:tcPr>
            <w:tcW w:type="dxa" w:w="2351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paymentRefId</w:t>
            </w:r>
          </w:p>
        </w:tc>
        <w:tc>
          <w:tcPr>
            <w:tcW w:type="dxa" w:w="2351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string</w:t>
            </w:r>
          </w:p>
        </w:tc>
        <w:tc>
          <w:tcPr>
            <w:tcW w:type="dxa" w:w="2351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REQUIRED</w:t>
            </w:r>
          </w:p>
        </w:tc>
        <w:tc>
          <w:tcPr>
            <w:tcW w:type="dxa" w:w="2351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Unique reference — matches the input</w:t>
            </w:r>
          </w:p>
        </w:tc>
      </w:tr>
      <w:tr>
        <w:tc>
          <w:tcPr>
            <w:tcW w:type="dxa" w:w="2351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imoNumber</w:t>
            </w:r>
          </w:p>
        </w:tc>
        <w:tc>
          <w:tcPr>
            <w:tcW w:type="dxa" w:w="2351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string</w:t>
            </w:r>
          </w:p>
        </w:tc>
        <w:tc>
          <w:tcPr>
            <w:tcW w:type="dxa" w:w="2351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REQUIRED</w:t>
            </w:r>
          </w:p>
        </w:tc>
        <w:tc>
          <w:tcPr>
            <w:tcW w:type="dxa" w:w="2351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IMO vessel identifier</w:t>
            </w:r>
          </w:p>
        </w:tc>
      </w:tr>
      <w:tr>
        <w:tc>
          <w:tcPr>
            <w:tcW w:type="dxa" w:w="2351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vesselName</w:t>
            </w:r>
          </w:p>
        </w:tc>
        <w:tc>
          <w:tcPr>
            <w:tcW w:type="dxa" w:w="2351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string</w:t>
            </w:r>
          </w:p>
        </w:tc>
        <w:tc>
          <w:tcPr>
            <w:tcW w:type="dxa" w:w="2351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REQUIRED</w:t>
            </w:r>
          </w:p>
        </w:tc>
        <w:tc>
          <w:tcPr>
            <w:tcW w:type="dxa" w:w="2351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Vessel display name</w:t>
            </w:r>
          </w:p>
        </w:tc>
      </w:tr>
      <w:tr>
        <w:tc>
          <w:tcPr>
            <w:tcW w:type="dxa" w:w="2351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vesselGRT</w:t>
            </w:r>
          </w:p>
        </w:tc>
        <w:tc>
          <w:tcPr>
            <w:tcW w:type="dxa" w:w="2351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integer</w:t>
            </w:r>
          </w:p>
        </w:tc>
        <w:tc>
          <w:tcPr>
            <w:tcW w:type="dxa" w:w="2351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REQUIRED</w:t>
            </w:r>
          </w:p>
        </w:tc>
        <w:tc>
          <w:tcPr>
            <w:tcW w:type="dxa" w:w="2351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Gross Registered Tonnage</w:t>
            </w:r>
          </w:p>
        </w:tc>
      </w:tr>
      <w:tr>
        <w:tc>
          <w:tcPr>
            <w:tcW w:type="dxa" w:w="2351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portOfCall</w:t>
            </w:r>
          </w:p>
        </w:tc>
        <w:tc>
          <w:tcPr>
            <w:tcW w:type="dxa" w:w="2351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string</w:t>
            </w:r>
          </w:p>
        </w:tc>
        <w:tc>
          <w:tcPr>
            <w:tcW w:type="dxa" w:w="2351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REQUIRED</w:t>
            </w:r>
          </w:p>
        </w:tc>
        <w:tc>
          <w:tcPr>
            <w:tcW w:type="dxa" w:w="2351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UN/LOCODE of Nigerian port</w:t>
            </w:r>
          </w:p>
        </w:tc>
      </w:tr>
      <w:tr>
        <w:tc>
          <w:tcPr>
            <w:tcW w:type="dxa" w:w="2351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voyageArrival</w:t>
            </w:r>
          </w:p>
        </w:tc>
        <w:tc>
          <w:tcPr>
            <w:tcW w:type="dxa" w:w="2351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date</w:t>
            </w:r>
          </w:p>
        </w:tc>
        <w:tc>
          <w:tcPr>
            <w:tcW w:type="dxa" w:w="2351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REQUIRED</w:t>
            </w:r>
          </w:p>
        </w:tc>
        <w:tc>
          <w:tcPr>
            <w:tcW w:type="dxa" w:w="2351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ISO 8601 date</w:t>
            </w:r>
          </w:p>
        </w:tc>
      </w:tr>
      <w:tr>
        <w:tc>
          <w:tcPr>
            <w:tcW w:type="dxa" w:w="2351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voyageDeparture</w:t>
            </w:r>
          </w:p>
        </w:tc>
        <w:tc>
          <w:tcPr>
            <w:tcW w:type="dxa" w:w="2351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date</w:t>
            </w:r>
          </w:p>
        </w:tc>
        <w:tc>
          <w:tcPr>
            <w:tcW w:type="dxa" w:w="2351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REQUIRED</w:t>
            </w:r>
          </w:p>
        </w:tc>
        <w:tc>
          <w:tcPr>
            <w:tcW w:type="dxa" w:w="2351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ISO 8601 date</w:t>
            </w:r>
          </w:p>
        </w:tc>
      </w:tr>
      <w:tr>
        <w:tc>
          <w:tcPr>
            <w:tcW w:type="dxa" w:w="2351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feeAmountUSD</w:t>
            </w:r>
          </w:p>
        </w:tc>
        <w:tc>
          <w:tcPr>
            <w:tcW w:type="dxa" w:w="2351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integer</w:t>
            </w:r>
          </w:p>
        </w:tc>
        <w:tc>
          <w:tcPr>
            <w:tcW w:type="dxa" w:w="2351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PREFERRED</w:t>
            </w:r>
          </w:p>
        </w:tc>
        <w:tc>
          <w:tcPr>
            <w:tcW w:type="dxa" w:w="2351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Pre-calculated fee in USD minor units (cents). If absent, platform calculates.</w:t>
            </w:r>
          </w:p>
        </w:tc>
      </w:tr>
      <w:tr>
        <w:tc>
          <w:tcPr>
            <w:tcW w:type="dxa" w:w="2351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co2eTons</w:t>
            </w:r>
          </w:p>
        </w:tc>
        <w:tc>
          <w:tcPr>
            <w:tcW w:type="dxa" w:w="2351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decimal</w:t>
            </w:r>
          </w:p>
        </w:tc>
        <w:tc>
          <w:tcPr>
            <w:tcW w:type="dxa" w:w="2351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PREFERRED</w:t>
            </w:r>
          </w:p>
        </w:tc>
        <w:tc>
          <w:tcPr>
            <w:tcW w:type="dxa" w:w="2351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CO2e quantity. Used if feeAmountUSD absent.</w:t>
            </w:r>
          </w:p>
        </w:tc>
      </w:tr>
      <w:tr>
        <w:tc>
          <w:tcPr>
            <w:tcW w:type="dxa" w:w="2351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fuelConsumedMT</w:t>
            </w:r>
          </w:p>
        </w:tc>
        <w:tc>
          <w:tcPr>
            <w:tcW w:type="dxa" w:w="2351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decimal</w:t>
            </w:r>
          </w:p>
        </w:tc>
        <w:tc>
          <w:tcPr>
            <w:tcW w:type="dxa" w:w="2351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OPTIONAL</w:t>
            </w:r>
          </w:p>
        </w:tc>
        <w:tc>
          <w:tcPr>
            <w:tcW w:type="dxa" w:w="2351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Metric tons of fuel consumed. Used for independent calculation.</w:t>
            </w:r>
          </w:p>
        </w:tc>
      </w:tr>
      <w:tr>
        <w:tc>
          <w:tcPr>
            <w:tcW w:type="dxa" w:w="2351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emissionFactorKgPerMT</w:t>
            </w:r>
          </w:p>
        </w:tc>
        <w:tc>
          <w:tcPr>
            <w:tcW w:type="dxa" w:w="2351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decimal</w:t>
            </w:r>
          </w:p>
        </w:tc>
        <w:tc>
          <w:tcPr>
            <w:tcW w:type="dxa" w:w="2351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OPTIONAL</w:t>
            </w:r>
          </w:p>
        </w:tc>
        <w:tc>
          <w:tcPr>
            <w:tcW w:type="dxa" w:w="2351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Emission factor — used with fuelConsumedMT if co2eTons absent.</w:t>
            </w:r>
          </w:p>
        </w:tc>
      </w:tr>
      <w:tr>
        <w:tc>
          <w:tcPr>
            <w:tcW w:type="dxa" w:w="2351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feeScheduleRef</w:t>
            </w:r>
          </w:p>
        </w:tc>
        <w:tc>
          <w:tcPr>
            <w:tcW w:type="dxa" w:w="2351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string</w:t>
            </w:r>
          </w:p>
        </w:tc>
        <w:tc>
          <w:tcPr>
            <w:tcW w:type="dxa" w:w="2351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OPTIONAL</w:t>
            </w:r>
          </w:p>
        </w:tc>
        <w:tc>
          <w:tcPr>
            <w:tcW w:type="dxa" w:w="2351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Authority's fee schedule version reference</w:t>
            </w:r>
          </w:p>
        </w:tc>
      </w:tr>
      <w:tr>
        <w:tc>
          <w:tcPr>
            <w:tcW w:type="dxa" w:w="2351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assessmentStatus</w:t>
            </w:r>
          </w:p>
        </w:tc>
        <w:tc>
          <w:tcPr>
            <w:tcW w:type="dxa" w:w="2351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enum</w:t>
            </w:r>
          </w:p>
        </w:tc>
        <w:tc>
          <w:tcPr>
            <w:tcW w:type="dxa" w:w="2351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REQUIRED</w:t>
            </w:r>
          </w:p>
        </w:tc>
        <w:tc>
          <w:tcPr>
            <w:tcW w:type="dxa" w:w="2351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PENDING_PAYMENT | PAID | CANCELLED | DISPUTED</w:t>
            </w:r>
          </w:p>
        </w:tc>
      </w:tr>
      <w:tr>
        <w:tc>
          <w:tcPr>
            <w:tcW w:type="dxa" w:w="2351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currency</w:t>
            </w:r>
          </w:p>
        </w:tc>
        <w:tc>
          <w:tcPr>
            <w:tcW w:type="dxa" w:w="2351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string</w:t>
            </w:r>
          </w:p>
        </w:tc>
        <w:tc>
          <w:tcPr>
            <w:tcW w:type="dxa" w:w="2351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REQUIRED</w:t>
            </w:r>
          </w:p>
        </w:tc>
        <w:tc>
          <w:tcPr>
            <w:tcW w:type="dxa" w:w="2351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Always "USD" — authority bills in USD</w:t>
            </w:r>
          </w:p>
        </w:tc>
      </w:tr>
    </w:tbl>
    <w:p/>
    <w:p>
      <w:pPr>
        <w:spacing w:before="40" w:after="80"/>
        <w:ind w:left="360"/>
      </w:pPr>
      <w:r>
        <w:rPr>
          <w:i/>
          <w:color w:val="D47E00"/>
          <w:sz w:val="18"/>
        </w:rPr>
        <w:t>NOTE: If feeAmountUSD is provided by the external system, the platform uses it directly. If absent, the platform computes: CO2e_tons × USD 100. If neither is provided, the PaymentOrder is held in ASSESSMENT_INCOMPLETE status and an alert is raised.</w:t>
      </w:r>
    </w:p>
    <w:p>
      <w:pPr>
        <w:spacing w:before="240" w:after="80"/>
      </w:pPr>
      <w:r>
        <w:rPr>
          <w:b/>
          <w:color w:val="008B8B"/>
          <w:sz w:val="26"/>
        </w:rPr>
        <w:t>3.4  Platform Charges</w:t>
      </w:r>
    </w:p>
    <w:p>
      <w:pPr>
        <w:spacing w:after="80"/>
      </w:pPr>
      <w:r>
        <w:rPr>
          <w:i w:val="0"/>
          <w:sz w:val="20"/>
        </w:rPr>
        <w:t>In addition to the base emission fee received from the external system, the platform appends a service charge. This charge is configured in the FeeSchedule aggregate and may be expressed as:</w:t>
      </w:r>
    </w:p>
    <w:p>
      <w:pPr>
        <w:pStyle w:val="ListBullet"/>
      </w:pPr>
    </w:p>
    <w:p>
      <w:pPr>
        <w:spacing w:after="80"/>
        <w:ind w:left="360"/>
      </w:pPr>
      <w:r>
        <w:rPr>
          <w:i w:val="0"/>
          <w:sz w:val="20"/>
        </w:rPr>
        <w:t>•  A flat USD amount per payment (e.g., USD 50.00)</w:t>
      </w:r>
    </w:p>
    <w:p>
      <w:pPr>
        <w:pStyle w:val="ListBullet"/>
      </w:pPr>
    </w:p>
    <w:p>
      <w:pPr>
        <w:spacing w:after="80"/>
        <w:ind w:left="360"/>
      </w:pPr>
      <w:r>
        <w:rPr>
          <w:i w:val="0"/>
          <w:sz w:val="20"/>
        </w:rPr>
        <w:t>•  A percentage of the base fee (e.g., 1.5%)</w:t>
      </w:r>
    </w:p>
    <w:p>
      <w:pPr>
        <w:pStyle w:val="ListBullet"/>
      </w:pPr>
    </w:p>
    <w:p>
      <w:pPr>
        <w:spacing w:after="80"/>
        <w:ind w:left="360"/>
      </w:pPr>
      <w:r>
        <w:rPr>
          <w:i w:val="0"/>
          <w:sz w:val="20"/>
        </w:rPr>
        <w:t>•  A combination: flat + percentage</w:t>
      </w:r>
    </w:p>
    <w:p>
      <w:pPr>
        <w:spacing w:after="80"/>
      </w:pPr>
      <w:r>
        <w:rPr>
          <w:i w:val="0"/>
          <w:sz w:val="20"/>
        </w:rPr>
        <w:t>The total amount presented to the vessel operator is: Base Fee (from external system) + Platform Service Charge. Both line items are shown separately on the payment screen and on the receipt.</w:t>
      </w:r>
    </w:p>
    <w:p>
      <w:pPr>
        <w:pBdr>
          <w:bottom w:val="single" w:sz="6" w:space="1" w:color="008B8B"/>
        </w:pBdr>
        <w:spacing w:before="400" w:after="120"/>
      </w:pPr>
      <w:r>
        <w:rPr>
          <w:b/>
          <w:color w:val="0D1B3E"/>
          <w:sz w:val="32"/>
        </w:rPr>
        <w:t>4. Functional Requirements</w:t>
      </w:r>
    </w:p>
    <w:p>
      <w:pPr>
        <w:spacing w:after="80"/>
      </w:pPr>
      <w:r>
        <w:rPr>
          <w:i w:val="0"/>
          <w:sz w:val="20"/>
        </w:rPr>
        <w:t>Requirements are grouped by bounded context. Priority: MUST = MVP required | SHOULD = launch required | COULD = post-launch | WON'T = explicitly out of scope.</w:t>
      </w:r>
    </w:p>
    <w:p>
      <w:pPr>
        <w:spacing w:before="240" w:after="80"/>
      </w:pPr>
      <w:r>
        <w:rPr>
          <w:b/>
          <w:color w:val="008B8B"/>
          <w:sz w:val="26"/>
        </w:rPr>
        <w:t>4.1  Identity &amp; Access Management (IDN)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A2E4A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6"/>
              </w:rPr>
              <w:t>Req ID</w:t>
            </w:r>
          </w:p>
        </w:tc>
        <w:tc>
          <w:tcPr>
            <w:tcW w:type="dxa" w:w="2351"/>
            <w:shd w:val="clear" w:color="auto" w:fill="1A2E4A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6"/>
              </w:rPr>
              <w:t>Requirement Description</w:t>
            </w:r>
          </w:p>
        </w:tc>
        <w:tc>
          <w:tcPr>
            <w:tcW w:type="dxa" w:w="2351"/>
            <w:shd w:val="clear" w:color="auto" w:fill="1A2E4A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6"/>
              </w:rPr>
              <w:t>Priority</w:t>
            </w:r>
          </w:p>
        </w:tc>
        <w:tc>
          <w:tcPr>
            <w:tcW w:type="dxa" w:w="2351"/>
            <w:shd w:val="clear" w:color="auto" w:fill="1A2E4A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6"/>
              </w:rPr>
              <w:t>Notes / Source</w:t>
            </w:r>
          </w:p>
        </w:tc>
      </w:tr>
      <w:tr>
        <w:tc>
          <w:tcPr>
            <w:tcW w:type="dxa" w:w="2351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IDN-01</w:t>
            </w:r>
          </w:p>
        </w:tc>
        <w:tc>
          <w:tcPr>
            <w:tcW w:type="dxa" w:w="2351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Account creation is mandatory. No guest or anonymous payment access.</w:t>
            </w:r>
          </w:p>
        </w:tc>
        <w:tc>
          <w:tcPr>
            <w:tcW w:type="dxa" w:w="2351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MUST</w:t>
            </w:r>
          </w:p>
        </w:tc>
        <w:tc>
          <w:tcPr>
            <w:tcW w:type="dxa" w:w="2351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Business decision</w:t>
            </w:r>
          </w:p>
        </w:tc>
      </w:tr>
      <w:tr>
        <w:tc>
          <w:tcPr>
            <w:tcW w:type="dxa" w:w="2351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IDN-02</w:t>
            </w:r>
          </w:p>
        </w:tc>
        <w:tc>
          <w:tcPr>
            <w:tcW w:type="dxa" w:w="2351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An Organisation record must be created before any user can make a payment. One user may belong to exactly one Organisation.</w:t>
            </w:r>
          </w:p>
        </w:tc>
        <w:tc>
          <w:tcPr>
            <w:tcW w:type="dxa" w:w="2351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MUST</w:t>
            </w:r>
          </w:p>
        </w:tc>
        <w:tc>
          <w:tcPr>
            <w:tcW w:type="dxa" w:w="2351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Domain invariant</w:t>
            </w:r>
          </w:p>
        </w:tc>
      </w:tr>
      <w:tr>
        <w:tc>
          <w:tcPr>
            <w:tcW w:type="dxa" w:w="2351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IDN-03</w:t>
            </w:r>
          </w:p>
        </w:tc>
        <w:tc>
          <w:tcPr>
            <w:tcW w:type="dxa" w:w="2351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Supported roles: ADMIN, OPERATOR, FINANCE, AUDITOR. Roles are assigned per user within an Organisation.</w:t>
            </w:r>
          </w:p>
        </w:tc>
        <w:tc>
          <w:tcPr>
            <w:tcW w:type="dxa" w:w="2351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MUST</w:t>
            </w:r>
          </w:p>
        </w:tc>
        <w:tc>
          <w:tcPr>
            <w:tcW w:type="dxa" w:w="2351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RBAC</w:t>
            </w:r>
          </w:p>
        </w:tc>
      </w:tr>
      <w:tr>
        <w:tc>
          <w:tcPr>
            <w:tcW w:type="dxa" w:w="2351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IDN-04</w:t>
            </w:r>
          </w:p>
        </w:tc>
        <w:tc>
          <w:tcPr>
            <w:tcW w:type="dxa" w:w="2351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AUDITOR role grants read-only access at the domain level. No create, update, or delete operations permitted.</w:t>
            </w:r>
          </w:p>
        </w:tc>
        <w:tc>
          <w:tcPr>
            <w:tcW w:type="dxa" w:w="2351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MUST</w:t>
            </w:r>
          </w:p>
        </w:tc>
        <w:tc>
          <w:tcPr>
            <w:tcW w:type="dxa" w:w="2351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Compliance</w:t>
            </w:r>
          </w:p>
        </w:tc>
      </w:tr>
      <w:tr>
        <w:tc>
          <w:tcPr>
            <w:tcW w:type="dxa" w:w="2351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IDN-05</w:t>
            </w:r>
          </w:p>
        </w:tc>
        <w:tc>
          <w:tcPr>
            <w:tcW w:type="dxa" w:w="2351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ADMIN role requires TOTP-based 2FA (e.g., Google Authenticator). Login without 2FA is rejected.</w:t>
            </w:r>
          </w:p>
        </w:tc>
        <w:tc>
          <w:tcPr>
            <w:tcW w:type="dxa" w:w="2351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MUST</w:t>
            </w:r>
          </w:p>
        </w:tc>
        <w:tc>
          <w:tcPr>
            <w:tcW w:type="dxa" w:w="2351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Security</w:t>
            </w:r>
          </w:p>
        </w:tc>
      </w:tr>
      <w:tr>
        <w:tc>
          <w:tcPr>
            <w:tcW w:type="dxa" w:w="2351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IDN-06</w:t>
            </w:r>
          </w:p>
        </w:tc>
        <w:tc>
          <w:tcPr>
            <w:tcW w:type="dxa" w:w="2351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Authentication uses JWT (RS256 asymmetric signing). Access tokens expire in 15 minutes; refresh tokens in 7 days.</w:t>
            </w:r>
          </w:p>
        </w:tc>
        <w:tc>
          <w:tcPr>
            <w:tcW w:type="dxa" w:w="2351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MUST</w:t>
            </w:r>
          </w:p>
        </w:tc>
        <w:tc>
          <w:tcPr>
            <w:tcW w:type="dxa" w:w="2351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Security</w:t>
            </w:r>
          </w:p>
        </w:tc>
      </w:tr>
      <w:tr>
        <w:tc>
          <w:tcPr>
            <w:tcW w:type="dxa" w:w="2351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IDN-07</w:t>
            </w:r>
          </w:p>
        </w:tc>
        <w:tc>
          <w:tcPr>
            <w:tcW w:type="dxa" w:w="2351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An Organisation may register one or more vessel IMO numbers. A vessel IMO may only be active under one Organisation at a time.</w:t>
            </w:r>
          </w:p>
        </w:tc>
        <w:tc>
          <w:tcPr>
            <w:tcW w:type="dxa" w:w="2351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MUST</w:t>
            </w:r>
          </w:p>
        </w:tc>
        <w:tc>
          <w:tcPr>
            <w:tcW w:type="dxa" w:w="2351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Domain integrity</w:t>
            </w:r>
          </w:p>
        </w:tc>
      </w:tr>
      <w:tr>
        <w:tc>
          <w:tcPr>
            <w:tcW w:type="dxa" w:w="2351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IDN-08</w:t>
            </w:r>
          </w:p>
        </w:tc>
        <w:tc>
          <w:tcPr>
            <w:tcW w:type="dxa" w:w="2351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Password reset via time-limited email token (expires 1 hour). Brute-force protection: 5 failed attempts triggers 15-minute lockout.</w:t>
            </w:r>
          </w:p>
        </w:tc>
        <w:tc>
          <w:tcPr>
            <w:tcW w:type="dxa" w:w="2351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MUST</w:t>
            </w:r>
          </w:p>
        </w:tc>
        <w:tc>
          <w:tcPr>
            <w:tcW w:type="dxa" w:w="2351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Security</w:t>
            </w:r>
          </w:p>
        </w:tc>
      </w:tr>
      <w:tr>
        <w:tc>
          <w:tcPr>
            <w:tcW w:type="dxa" w:w="2351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IDN-09</w:t>
            </w:r>
          </w:p>
        </w:tc>
        <w:tc>
          <w:tcPr>
            <w:tcW w:type="dxa" w:w="2351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All user actions are logged with user ID, timestamp, IP address, and action type.</w:t>
            </w:r>
          </w:p>
        </w:tc>
        <w:tc>
          <w:tcPr>
            <w:tcW w:type="dxa" w:w="2351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MUST</w:t>
            </w:r>
          </w:p>
        </w:tc>
        <w:tc>
          <w:tcPr>
            <w:tcW w:type="dxa" w:w="2351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Audit / NDPR</w:t>
            </w:r>
          </w:p>
        </w:tc>
      </w:tr>
      <w:tr>
        <w:tc>
          <w:tcPr>
            <w:tcW w:type="dxa" w:w="2351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IDN-10</w:t>
            </w:r>
          </w:p>
        </w:tc>
        <w:tc>
          <w:tcPr>
            <w:tcW w:type="dxa" w:w="2351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An Organisation may be suspended by ADMIN, preventing all further payments from that org.</w:t>
            </w:r>
          </w:p>
        </w:tc>
        <w:tc>
          <w:tcPr>
            <w:tcW w:type="dxa" w:w="2351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SHOULD</w:t>
            </w:r>
          </w:p>
        </w:tc>
        <w:tc>
          <w:tcPr>
            <w:tcW w:type="dxa" w:w="2351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Operations</w:t>
            </w:r>
          </w:p>
        </w:tc>
      </w:tr>
      <w:tr>
        <w:tc>
          <w:tcPr>
            <w:tcW w:type="dxa" w:w="2351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IDN-11</w:t>
            </w:r>
          </w:p>
        </w:tc>
        <w:tc>
          <w:tcPr>
            <w:tcW w:type="dxa" w:w="2351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SSO (SAML 2.0 / OAuth2) for enterprise organisations.</w:t>
            </w:r>
          </w:p>
        </w:tc>
        <w:tc>
          <w:tcPr>
            <w:tcW w:type="dxa" w:w="2351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COULD</w:t>
            </w:r>
          </w:p>
        </w:tc>
        <w:tc>
          <w:tcPr>
            <w:tcW w:type="dxa" w:w="2351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Future phase</w:t>
            </w:r>
          </w:p>
        </w:tc>
      </w:tr>
    </w:tbl>
    <w:p/>
    <w:p>
      <w:pPr>
        <w:spacing w:before="240" w:after="80"/>
      </w:pPr>
      <w:r>
        <w:rPr>
          <w:b/>
          <w:color w:val="008B8B"/>
          <w:sz w:val="26"/>
        </w:rPr>
        <w:t>4.2  Emission Assessment Ingestion (EMS)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A2E4A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6"/>
              </w:rPr>
              <w:t>Req ID</w:t>
            </w:r>
          </w:p>
        </w:tc>
        <w:tc>
          <w:tcPr>
            <w:tcW w:type="dxa" w:w="2351"/>
            <w:shd w:val="clear" w:color="auto" w:fill="1A2E4A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6"/>
              </w:rPr>
              <w:t>Requirement Description</w:t>
            </w:r>
          </w:p>
        </w:tc>
        <w:tc>
          <w:tcPr>
            <w:tcW w:type="dxa" w:w="2351"/>
            <w:shd w:val="clear" w:color="auto" w:fill="1A2E4A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6"/>
              </w:rPr>
              <w:t>Priority</w:t>
            </w:r>
          </w:p>
        </w:tc>
        <w:tc>
          <w:tcPr>
            <w:tcW w:type="dxa" w:w="2351"/>
            <w:shd w:val="clear" w:color="auto" w:fill="1A2E4A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6"/>
              </w:rPr>
              <w:t>Notes / Source</w:t>
            </w:r>
          </w:p>
        </w:tc>
      </w:tr>
      <w:tr>
        <w:tc>
          <w:tcPr>
            <w:tcW w:type="dxa" w:w="2351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EMS-01</w:t>
            </w:r>
          </w:p>
        </w:tc>
        <w:tc>
          <w:tcPr>
            <w:tcW w:type="dxa" w:w="2351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A vessel operator enters a Payment Reference ID on the platform to initiate a payment.</w:t>
            </w:r>
          </w:p>
        </w:tc>
        <w:tc>
          <w:tcPr>
            <w:tcW w:type="dxa" w:w="2351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MUST</w:t>
            </w:r>
          </w:p>
        </w:tc>
        <w:tc>
          <w:tcPr>
            <w:tcW w:type="dxa" w:w="2351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Core flow</w:t>
            </w:r>
          </w:p>
        </w:tc>
      </w:tr>
      <w:tr>
        <w:tc>
          <w:tcPr>
            <w:tcW w:type="dxa" w:w="2351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EMS-02</w:t>
            </w:r>
          </w:p>
        </w:tc>
        <w:tc>
          <w:tcPr>
            <w:tcW w:type="dxa" w:w="2351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On receipt of a Payment Ref ID, the system calls the external emission authority API to retrieve assessment data.</w:t>
            </w:r>
          </w:p>
        </w:tc>
        <w:tc>
          <w:tcPr>
            <w:tcW w:type="dxa" w:w="2351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MUST</w:t>
            </w:r>
          </w:p>
        </w:tc>
        <w:tc>
          <w:tcPr>
            <w:tcW w:type="dxa" w:w="2351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External API</w:t>
            </w:r>
          </w:p>
        </w:tc>
      </w:tr>
      <w:tr>
        <w:tc>
          <w:tcPr>
            <w:tcW w:type="dxa" w:w="2351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EMS-03</w:t>
            </w:r>
          </w:p>
        </w:tc>
        <w:tc>
          <w:tcPr>
            <w:tcW w:type="dxa" w:w="2351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The system validates that assessmentStatus == PENDING_PAYMENT before creating a PaymentOrder. Any other status (PAID, CANCELLED, DISPUTED) is rejected with a clear error message.</w:t>
            </w:r>
          </w:p>
        </w:tc>
        <w:tc>
          <w:tcPr>
            <w:tcW w:type="dxa" w:w="2351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MUST</w:t>
            </w:r>
          </w:p>
        </w:tc>
        <w:tc>
          <w:tcPr>
            <w:tcW w:type="dxa" w:w="2351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Idempotency guard</w:t>
            </w:r>
          </w:p>
        </w:tc>
      </w:tr>
      <w:tr>
        <w:tc>
          <w:tcPr>
            <w:tcW w:type="dxa" w:w="2351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EMS-04</w:t>
            </w:r>
          </w:p>
        </w:tc>
        <w:tc>
          <w:tcPr>
            <w:tcW w:type="dxa" w:w="2351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Assessment data retrieved from the external system is stored as an EmissionAssessment record, linked to the PaymentOrder by paymentRefId.</w:t>
            </w:r>
          </w:p>
        </w:tc>
        <w:tc>
          <w:tcPr>
            <w:tcW w:type="dxa" w:w="2351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MUST</w:t>
            </w:r>
          </w:p>
        </w:tc>
        <w:tc>
          <w:tcPr>
            <w:tcW w:type="dxa" w:w="2351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Data persistence</w:t>
            </w:r>
          </w:p>
        </w:tc>
      </w:tr>
      <w:tr>
        <w:tc>
          <w:tcPr>
            <w:tcW w:type="dxa" w:w="2351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EMS-05</w:t>
            </w:r>
          </w:p>
        </w:tc>
        <w:tc>
          <w:tcPr>
            <w:tcW w:type="dxa" w:w="2351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If the external system provides feeAmountUSD, the platform uses it as the base fee without modification.</w:t>
            </w:r>
          </w:p>
        </w:tc>
        <w:tc>
          <w:tcPr>
            <w:tcW w:type="dxa" w:w="2351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MUST</w:t>
            </w:r>
          </w:p>
        </w:tc>
        <w:tc>
          <w:tcPr>
            <w:tcW w:type="dxa" w:w="2351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Fee fidelity</w:t>
            </w:r>
          </w:p>
        </w:tc>
      </w:tr>
      <w:tr>
        <w:tc>
          <w:tcPr>
            <w:tcW w:type="dxa" w:w="2351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EMS-06</w:t>
            </w:r>
          </w:p>
        </w:tc>
        <w:tc>
          <w:tcPr>
            <w:tcW w:type="dxa" w:w="2351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If feeAmountUSD is absent but co2eTons is provided, the platform calculates: baseFeeCents = co2eTons × 100 × 100 (USD minor units).</w:t>
            </w:r>
          </w:p>
        </w:tc>
        <w:tc>
          <w:tcPr>
            <w:tcW w:type="dxa" w:w="2351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MUST</w:t>
            </w:r>
          </w:p>
        </w:tc>
        <w:tc>
          <w:tcPr>
            <w:tcW w:type="dxa" w:w="2351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Fallback calculation</w:t>
            </w:r>
          </w:p>
        </w:tc>
      </w:tr>
      <w:tr>
        <w:tc>
          <w:tcPr>
            <w:tcW w:type="dxa" w:w="2351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EMS-07</w:t>
            </w:r>
          </w:p>
        </w:tc>
        <w:tc>
          <w:tcPr>
            <w:tcW w:type="dxa" w:w="2351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If neither feeAmountUSD nor co2eTons is provided, the PaymentOrder is created in ASSESSMENT_INCOMPLETE status and an admin alert is triggered. Payment cannot proceed until resolved.</w:t>
            </w:r>
          </w:p>
        </w:tc>
        <w:tc>
          <w:tcPr>
            <w:tcW w:type="dxa" w:w="2351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MUST</w:t>
            </w:r>
          </w:p>
        </w:tc>
        <w:tc>
          <w:tcPr>
            <w:tcW w:type="dxa" w:w="2351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Error handling</w:t>
            </w:r>
          </w:p>
        </w:tc>
      </w:tr>
      <w:tr>
        <w:tc>
          <w:tcPr>
            <w:tcW w:type="dxa" w:w="2351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EMS-08</w:t>
            </w:r>
          </w:p>
        </w:tc>
        <w:tc>
          <w:tcPr>
            <w:tcW w:type="dxa" w:w="2351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The platform service charge is appended to the base fee. Both amounts are line-itemised on the PaymentOrder and visible to the operator before payment.</w:t>
            </w:r>
          </w:p>
        </w:tc>
        <w:tc>
          <w:tcPr>
            <w:tcW w:type="dxa" w:w="2351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MUST</w:t>
            </w:r>
          </w:p>
        </w:tc>
        <w:tc>
          <w:tcPr>
            <w:tcW w:type="dxa" w:w="2351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Transparency</w:t>
            </w:r>
          </w:p>
        </w:tc>
      </w:tr>
      <w:tr>
        <w:tc>
          <w:tcPr>
            <w:tcW w:type="dxa" w:w="2351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EMS-09</w:t>
            </w:r>
          </w:p>
        </w:tc>
        <w:tc>
          <w:tcPr>
            <w:tcW w:type="dxa" w:w="2351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One Payment Ref ID may only be paid once. A second attempt to use a paid reference is rejected (check: assessmentStatus == PAID on external system + local DB check).</w:t>
            </w:r>
          </w:p>
        </w:tc>
        <w:tc>
          <w:tcPr>
            <w:tcW w:type="dxa" w:w="2351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MUST</w:t>
            </w:r>
          </w:p>
        </w:tc>
        <w:tc>
          <w:tcPr>
            <w:tcW w:type="dxa" w:w="2351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Idempotency</w:t>
            </w:r>
          </w:p>
        </w:tc>
      </w:tr>
      <w:tr>
        <w:tc>
          <w:tcPr>
            <w:tcW w:type="dxa" w:w="2351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EMS-10</w:t>
            </w:r>
          </w:p>
        </w:tc>
        <w:tc>
          <w:tcPr>
            <w:tcW w:type="dxa" w:w="2351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On successful payment, the platform notifies the external system via POST /payment-confirmation with: paymentRefId, platformPaymentRef, timestamp, amountPaidUSD.</w:t>
            </w:r>
          </w:p>
        </w:tc>
        <w:tc>
          <w:tcPr>
            <w:tcW w:type="dxa" w:w="2351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MUST</w:t>
            </w:r>
          </w:p>
        </w:tc>
        <w:tc>
          <w:tcPr>
            <w:tcW w:type="dxa" w:w="2351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External notification</w:t>
            </w:r>
          </w:p>
        </w:tc>
      </w:tr>
      <w:tr>
        <w:tc>
          <w:tcPr>
            <w:tcW w:type="dxa" w:w="2351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EMS-11</w:t>
            </w:r>
          </w:p>
        </w:tc>
        <w:tc>
          <w:tcPr>
            <w:tcW w:type="dxa" w:w="2351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If the external API is unavailable at lookup time, the system returns an error to the user and does not create a PaymentOrder. Retry is manual.</w:t>
            </w:r>
          </w:p>
        </w:tc>
        <w:tc>
          <w:tcPr>
            <w:tcW w:type="dxa" w:w="2351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MUST</w:t>
            </w:r>
          </w:p>
        </w:tc>
        <w:tc>
          <w:tcPr>
            <w:tcW w:type="dxa" w:w="2351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Resilience</w:t>
            </w:r>
          </w:p>
        </w:tc>
      </w:tr>
      <w:tr>
        <w:tc>
          <w:tcPr>
            <w:tcW w:type="dxa" w:w="2351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EMS-12</w:t>
            </w:r>
          </w:p>
        </w:tc>
        <w:tc>
          <w:tcPr>
            <w:tcW w:type="dxa" w:w="2351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The system caches assessment data per Payment Ref ID for 15 minutes (Redis) to avoid redundant external API calls during the checkout session.</w:t>
            </w:r>
          </w:p>
        </w:tc>
        <w:tc>
          <w:tcPr>
            <w:tcW w:type="dxa" w:w="2351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SHOULD</w:t>
            </w:r>
          </w:p>
        </w:tc>
        <w:tc>
          <w:tcPr>
            <w:tcW w:type="dxa" w:w="2351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Performance</w:t>
            </w:r>
          </w:p>
        </w:tc>
      </w:tr>
      <w:tr>
        <w:tc>
          <w:tcPr>
            <w:tcW w:type="dxa" w:w="2351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EMS-13</w:t>
            </w:r>
          </w:p>
        </w:tc>
        <w:tc>
          <w:tcPr>
            <w:tcW w:type="dxa" w:w="2351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Admin can manually override an EmissionAssessment (e.g., dispute resolution) with a mandatory audit note.</w:t>
            </w:r>
          </w:p>
        </w:tc>
        <w:tc>
          <w:tcPr>
            <w:tcW w:type="dxa" w:w="2351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SHOULD</w:t>
            </w:r>
          </w:p>
        </w:tc>
        <w:tc>
          <w:tcPr>
            <w:tcW w:type="dxa" w:w="2351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Operations</w:t>
            </w:r>
          </w:p>
        </w:tc>
      </w:tr>
    </w:tbl>
    <w:p/>
    <w:p>
      <w:pPr>
        <w:spacing w:before="240" w:after="80"/>
      </w:pPr>
      <w:r>
        <w:rPr>
          <w:b/>
          <w:color w:val="008B8B"/>
          <w:sz w:val="26"/>
        </w:rPr>
        <w:t>4.3  Payment Processing (PAY)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A2E4A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6"/>
              </w:rPr>
              <w:t>Req ID</w:t>
            </w:r>
          </w:p>
        </w:tc>
        <w:tc>
          <w:tcPr>
            <w:tcW w:type="dxa" w:w="2351"/>
            <w:shd w:val="clear" w:color="auto" w:fill="1A2E4A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6"/>
              </w:rPr>
              <w:t>Requirement Description</w:t>
            </w:r>
          </w:p>
        </w:tc>
        <w:tc>
          <w:tcPr>
            <w:tcW w:type="dxa" w:w="2351"/>
            <w:shd w:val="clear" w:color="auto" w:fill="1A2E4A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6"/>
              </w:rPr>
              <w:t>Priority</w:t>
            </w:r>
          </w:p>
        </w:tc>
        <w:tc>
          <w:tcPr>
            <w:tcW w:type="dxa" w:w="2351"/>
            <w:shd w:val="clear" w:color="auto" w:fill="1A2E4A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6"/>
              </w:rPr>
              <w:t>Notes / Source</w:t>
            </w:r>
          </w:p>
        </w:tc>
      </w:tr>
      <w:tr>
        <w:tc>
          <w:tcPr>
            <w:tcW w:type="dxa" w:w="2351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PAY-01</w:t>
            </w:r>
          </w:p>
        </w:tc>
        <w:tc>
          <w:tcPr>
            <w:tcW w:type="dxa" w:w="2351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Billing currency is always USD. All PaymentOrder amounts are stored and reported in USD minor units (cents).</w:t>
            </w:r>
          </w:p>
        </w:tc>
        <w:tc>
          <w:tcPr>
            <w:tcW w:type="dxa" w:w="2351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MUST</w:t>
            </w:r>
          </w:p>
        </w:tc>
        <w:tc>
          <w:tcPr>
            <w:tcW w:type="dxa" w:w="2351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Currency standard</w:t>
            </w:r>
          </w:p>
        </w:tc>
      </w:tr>
      <w:tr>
        <w:tc>
          <w:tcPr>
            <w:tcW w:type="dxa" w:w="2351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PAY-02</w:t>
            </w:r>
          </w:p>
        </w:tc>
        <w:tc>
          <w:tcPr>
            <w:tcW w:type="dxa" w:w="2351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The operator may choose to pay in USD or NGN. Currency selection is presented after assessment data is loaded.</w:t>
            </w:r>
          </w:p>
        </w:tc>
        <w:tc>
          <w:tcPr>
            <w:tcW w:type="dxa" w:w="2351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MUST</w:t>
            </w:r>
          </w:p>
        </w:tc>
        <w:tc>
          <w:tcPr>
            <w:tcW w:type="dxa" w:w="2351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Multi-currency</w:t>
            </w:r>
          </w:p>
        </w:tc>
      </w:tr>
      <w:tr>
        <w:tc>
          <w:tcPr>
            <w:tcW w:type="dxa" w:w="2351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PAY-03</w:t>
            </w:r>
          </w:p>
        </w:tc>
        <w:tc>
          <w:tcPr>
            <w:tcW w:type="dxa" w:w="2351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For NGN payments, the platform fetches the live USD/NGN exchange rate from a configured FX provider at payment initiation. The rate is locked on the PaymentOrder for its lifetime.</w:t>
            </w:r>
          </w:p>
        </w:tc>
        <w:tc>
          <w:tcPr>
            <w:tcW w:type="dxa" w:w="2351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MUST</w:t>
            </w:r>
          </w:p>
        </w:tc>
        <w:tc>
          <w:tcPr>
            <w:tcW w:type="dxa" w:w="2351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FX handling</w:t>
            </w:r>
          </w:p>
        </w:tc>
      </w:tr>
      <w:tr>
        <w:tc>
          <w:tcPr>
            <w:tcW w:type="dxa" w:w="2351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PAY-04</w:t>
            </w:r>
          </w:p>
        </w:tc>
        <w:tc>
          <w:tcPr>
            <w:tcW w:type="dxa" w:w="2351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The NGN equivalent is calculated as: ngnAmount = (usdAmountCents / 100) × fxRate × 100 (in kobo minor units). Both USD and NGN amounts are stored on the PaymentOrder.</w:t>
            </w:r>
          </w:p>
        </w:tc>
        <w:tc>
          <w:tcPr>
            <w:tcW w:type="dxa" w:w="2351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MUST</w:t>
            </w:r>
          </w:p>
        </w:tc>
        <w:tc>
          <w:tcPr>
            <w:tcW w:type="dxa" w:w="2351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Data integrity</w:t>
            </w:r>
          </w:p>
        </w:tc>
      </w:tr>
      <w:tr>
        <w:tc>
          <w:tcPr>
            <w:tcW w:type="dxa" w:w="2351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PAY-05</w:t>
            </w:r>
          </w:p>
        </w:tc>
        <w:tc>
          <w:tcPr>
            <w:tcW w:type="dxa" w:w="2351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USD payments are processed via Flutterwave (primary) or Paystack (secondary) USD collection.</w:t>
            </w:r>
          </w:p>
        </w:tc>
        <w:tc>
          <w:tcPr>
            <w:tcW w:type="dxa" w:w="2351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MUST</w:t>
            </w:r>
          </w:p>
        </w:tc>
        <w:tc>
          <w:tcPr>
            <w:tcW w:type="dxa" w:w="2351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USD gateway</w:t>
            </w:r>
          </w:p>
        </w:tc>
      </w:tr>
      <w:tr>
        <w:tc>
          <w:tcPr>
            <w:tcW w:type="dxa" w:w="2351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PAY-06</w:t>
            </w:r>
          </w:p>
        </w:tc>
        <w:tc>
          <w:tcPr>
            <w:tcW w:type="dxa" w:w="2351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NGN payments are processed via Paystack (primary) or Flutterwave (secondary).</w:t>
            </w:r>
          </w:p>
        </w:tc>
        <w:tc>
          <w:tcPr>
            <w:tcW w:type="dxa" w:w="2351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MUST</w:t>
            </w:r>
          </w:p>
        </w:tc>
        <w:tc>
          <w:tcPr>
            <w:tcW w:type="dxa" w:w="2351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NGN gateway</w:t>
            </w:r>
          </w:p>
        </w:tc>
      </w:tr>
      <w:tr>
        <w:tc>
          <w:tcPr>
            <w:tcW w:type="dxa" w:w="2351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PAY-07</w:t>
            </w:r>
          </w:p>
        </w:tc>
        <w:tc>
          <w:tcPr>
            <w:tcW w:type="dxa" w:w="2351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The gateway routing is configurable by ADMIN without code deployment (gateway priority config in DB).</w:t>
            </w:r>
          </w:p>
        </w:tc>
        <w:tc>
          <w:tcPr>
            <w:tcW w:type="dxa" w:w="2351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SHOULD</w:t>
            </w:r>
          </w:p>
        </w:tc>
        <w:tc>
          <w:tcPr>
            <w:tcW w:type="dxa" w:w="2351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Ops flexibility</w:t>
            </w:r>
          </w:p>
        </w:tc>
      </w:tr>
      <w:tr>
        <w:tc>
          <w:tcPr>
            <w:tcW w:type="dxa" w:w="2351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PAY-08</w:t>
            </w:r>
          </w:p>
        </w:tc>
        <w:tc>
          <w:tcPr>
            <w:tcW w:type="dxa" w:w="2351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Crypto (USDT, USDC) payment collection is out of scope for v1.0 but the gateway adapter interface MUST be designed to support plugging in a crypto gateway in a future phase.</w:t>
            </w:r>
          </w:p>
        </w:tc>
        <w:tc>
          <w:tcPr>
            <w:tcW w:type="dxa" w:w="2351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MUST</w:t>
            </w:r>
          </w:p>
        </w:tc>
        <w:tc>
          <w:tcPr>
            <w:tcW w:type="dxa" w:w="2351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Architecture constraint</w:t>
            </w:r>
          </w:p>
        </w:tc>
      </w:tr>
      <w:tr>
        <w:tc>
          <w:tcPr>
            <w:tcW w:type="dxa" w:w="2351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PAY-09</w:t>
            </w:r>
          </w:p>
        </w:tc>
        <w:tc>
          <w:tcPr>
            <w:tcW w:type="dxa" w:w="2351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PaymentOrder state machine: PENDING → PROCESSING → COMPLETED | FAILED | REFUNDED. No other transitions are valid.</w:t>
            </w:r>
          </w:p>
        </w:tc>
        <w:tc>
          <w:tcPr>
            <w:tcW w:type="dxa" w:w="2351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MUST</w:t>
            </w:r>
          </w:p>
        </w:tc>
        <w:tc>
          <w:tcPr>
            <w:tcW w:type="dxa" w:w="2351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Domain invariant</w:t>
            </w:r>
          </w:p>
        </w:tc>
      </w:tr>
      <w:tr>
        <w:tc>
          <w:tcPr>
            <w:tcW w:type="dxa" w:w="2351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PAY-10</w:t>
            </w:r>
          </w:p>
        </w:tc>
        <w:tc>
          <w:tcPr>
            <w:tcW w:type="dxa" w:w="2351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A completed PaymentOrder is immutable. Refunds are processed as a new reversal PaymentOrder referencing the original.</w:t>
            </w:r>
          </w:p>
        </w:tc>
        <w:tc>
          <w:tcPr>
            <w:tcW w:type="dxa" w:w="2351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MUST</w:t>
            </w:r>
          </w:p>
        </w:tc>
        <w:tc>
          <w:tcPr>
            <w:tcW w:type="dxa" w:w="2351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Domain invariant</w:t>
            </w:r>
          </w:p>
        </w:tc>
      </w:tr>
      <w:tr>
        <w:tc>
          <w:tcPr>
            <w:tcW w:type="dxa" w:w="2351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PAY-11</w:t>
            </w:r>
          </w:p>
        </w:tc>
        <w:tc>
          <w:tcPr>
            <w:tcW w:type="dxa" w:w="2351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The TransactionReference field is globally unique across all PaymentOrders. Generated as a platform-scoped UUID + timestamp hash.</w:t>
            </w:r>
          </w:p>
        </w:tc>
        <w:tc>
          <w:tcPr>
            <w:tcW w:type="dxa" w:w="2351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MUST</w:t>
            </w:r>
          </w:p>
        </w:tc>
        <w:tc>
          <w:tcPr>
            <w:tcW w:type="dxa" w:w="2351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Uniqueness</w:t>
            </w:r>
          </w:p>
        </w:tc>
      </w:tr>
      <w:tr>
        <w:tc>
          <w:tcPr>
            <w:tcW w:type="dxa" w:w="2351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PAY-12</w:t>
            </w:r>
          </w:p>
        </w:tc>
        <w:tc>
          <w:tcPr>
            <w:tcW w:type="dxa" w:w="2351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Idempotency: a Redis key (TTL 24 hours) keyed on {paymentRefId}:{currency} prevents duplicate PaymentOrder creation from concurrent requests.</w:t>
            </w:r>
          </w:p>
        </w:tc>
        <w:tc>
          <w:tcPr>
            <w:tcW w:type="dxa" w:w="2351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MUST</w:t>
            </w:r>
          </w:p>
        </w:tc>
        <w:tc>
          <w:tcPr>
            <w:tcW w:type="dxa" w:w="2351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Idempotency</w:t>
            </w:r>
          </w:p>
        </w:tc>
      </w:tr>
      <w:tr>
        <w:tc>
          <w:tcPr>
            <w:tcW w:type="dxa" w:w="2351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PAY-13</w:t>
            </w:r>
          </w:p>
        </w:tc>
        <w:tc>
          <w:tcPr>
            <w:tcW w:type="dxa" w:w="2351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Gateway webhook payloads are verified via HMAC signature before processing. Unverified webhooks are rejected and logged.</w:t>
            </w:r>
          </w:p>
        </w:tc>
        <w:tc>
          <w:tcPr>
            <w:tcW w:type="dxa" w:w="2351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MUST</w:t>
            </w:r>
          </w:p>
        </w:tc>
        <w:tc>
          <w:tcPr>
            <w:tcW w:type="dxa" w:w="2351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Security</w:t>
            </w:r>
          </w:p>
        </w:tc>
      </w:tr>
      <w:tr>
        <w:tc>
          <w:tcPr>
            <w:tcW w:type="dxa" w:w="2351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PAY-14</w:t>
            </w:r>
          </w:p>
        </w:tc>
        <w:tc>
          <w:tcPr>
            <w:tcW w:type="dxa" w:w="2351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Webhook events are processed via BullMQ jobs (not synchronously in the webhook handler) to ensure durability and retry on failure.</w:t>
            </w:r>
          </w:p>
        </w:tc>
        <w:tc>
          <w:tcPr>
            <w:tcW w:type="dxa" w:w="2351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MUST</w:t>
            </w:r>
          </w:p>
        </w:tc>
        <w:tc>
          <w:tcPr>
            <w:tcW w:type="dxa" w:w="2351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Reliability</w:t>
            </w:r>
          </w:p>
        </w:tc>
      </w:tr>
      <w:tr>
        <w:tc>
          <w:tcPr>
            <w:tcW w:type="dxa" w:w="2351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PAY-15</w:t>
            </w:r>
          </w:p>
        </w:tc>
        <w:tc>
          <w:tcPr>
            <w:tcW w:type="dxa" w:w="2351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Own gateway: the gateway integration MUST use an adapter/port pattern (interface + implementation). A future own-gateway implementation requires only a new adapter — no core payment logic changes.</w:t>
            </w:r>
          </w:p>
        </w:tc>
        <w:tc>
          <w:tcPr>
            <w:tcW w:type="dxa" w:w="2351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MUST</w:t>
            </w:r>
          </w:p>
        </w:tc>
        <w:tc>
          <w:tcPr>
            <w:tcW w:type="dxa" w:w="2351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Architecture</w:t>
            </w:r>
          </w:p>
        </w:tc>
      </w:tr>
      <w:tr>
        <w:tc>
          <w:tcPr>
            <w:tcW w:type="dxa" w:w="2351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PAY-16</w:t>
            </w:r>
          </w:p>
        </w:tc>
        <w:tc>
          <w:tcPr>
            <w:tcW w:type="dxa" w:w="2351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Payment link generation: Admin may generate a one-time payment link for a specific Payment Ref ID to share with operators who cannot self-serve.</w:t>
            </w:r>
          </w:p>
        </w:tc>
        <w:tc>
          <w:tcPr>
            <w:tcW w:type="dxa" w:w="2351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SHOULD</w:t>
            </w:r>
          </w:p>
        </w:tc>
        <w:tc>
          <w:tcPr>
            <w:tcW w:type="dxa" w:w="2351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Ops</w:t>
            </w:r>
          </w:p>
        </w:tc>
      </w:tr>
      <w:tr>
        <w:tc>
          <w:tcPr>
            <w:tcW w:type="dxa" w:w="2351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PAY-17</w:t>
            </w:r>
          </w:p>
        </w:tc>
        <w:tc>
          <w:tcPr>
            <w:tcW w:type="dxa" w:w="2351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Partial payments are not supported. A PaymentOrder must be fully settled in a single transaction.</w:t>
            </w:r>
          </w:p>
        </w:tc>
        <w:tc>
          <w:tcPr>
            <w:tcW w:type="dxa" w:w="2351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MUST</w:t>
            </w:r>
          </w:p>
        </w:tc>
        <w:tc>
          <w:tcPr>
            <w:tcW w:type="dxa" w:w="2351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Business rule</w:t>
            </w:r>
          </w:p>
        </w:tc>
      </w:tr>
      <w:tr>
        <w:tc>
          <w:tcPr>
            <w:tcW w:type="dxa" w:w="2351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PAY-18</w:t>
            </w:r>
          </w:p>
        </w:tc>
        <w:tc>
          <w:tcPr>
            <w:tcW w:type="dxa" w:w="2351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Payment receipt is generated as a PDF and emailed to the vessel operator upon COMPLETED status.</w:t>
            </w:r>
          </w:p>
        </w:tc>
        <w:tc>
          <w:tcPr>
            <w:tcW w:type="dxa" w:w="2351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MUST</w:t>
            </w:r>
          </w:p>
        </w:tc>
        <w:tc>
          <w:tcPr>
            <w:tcW w:type="dxa" w:w="2351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Compliance</w:t>
            </w:r>
          </w:p>
        </w:tc>
      </w:tr>
    </w:tbl>
    <w:p/>
    <w:p>
      <w:pPr>
        <w:spacing w:before="240" w:after="80"/>
      </w:pPr>
      <w:r>
        <w:rPr>
          <w:b/>
          <w:color w:val="008B8B"/>
          <w:sz w:val="26"/>
        </w:rPr>
        <w:t>4.4  Settlement &amp; Disbursement (STL)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A2E4A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6"/>
              </w:rPr>
              <w:t>Req ID</w:t>
            </w:r>
          </w:p>
        </w:tc>
        <w:tc>
          <w:tcPr>
            <w:tcW w:type="dxa" w:w="2351"/>
            <w:shd w:val="clear" w:color="auto" w:fill="1A2E4A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6"/>
              </w:rPr>
              <w:t>Requirement Description</w:t>
            </w:r>
          </w:p>
        </w:tc>
        <w:tc>
          <w:tcPr>
            <w:tcW w:type="dxa" w:w="2351"/>
            <w:shd w:val="clear" w:color="auto" w:fill="1A2E4A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6"/>
              </w:rPr>
              <w:t>Priority</w:t>
            </w:r>
          </w:p>
        </w:tc>
        <w:tc>
          <w:tcPr>
            <w:tcW w:type="dxa" w:w="2351"/>
            <w:shd w:val="clear" w:color="auto" w:fill="1A2E4A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6"/>
              </w:rPr>
              <w:t>Notes / Source</w:t>
            </w:r>
          </w:p>
        </w:tc>
      </w:tr>
      <w:tr>
        <w:tc>
          <w:tcPr>
            <w:tcW w:type="dxa" w:w="2351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STL-01</w:t>
            </w:r>
          </w:p>
        </w:tc>
        <w:tc>
          <w:tcPr>
            <w:tcW w:type="dxa" w:w="2351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On PaymentCompleted event, the settlement engine calculates split allocations using the active SplitRule for the payment's FeeSchedule.</w:t>
            </w:r>
          </w:p>
        </w:tc>
        <w:tc>
          <w:tcPr>
            <w:tcW w:type="dxa" w:w="2351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MUST</w:t>
            </w:r>
          </w:p>
        </w:tc>
        <w:tc>
          <w:tcPr>
            <w:tcW w:type="dxa" w:w="2351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Core domain</w:t>
            </w:r>
          </w:p>
        </w:tc>
      </w:tr>
      <w:tr>
        <w:tc>
          <w:tcPr>
            <w:tcW w:type="dxa" w:w="2351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STL-02</w:t>
            </w:r>
          </w:p>
        </w:tc>
        <w:tc>
          <w:tcPr>
            <w:tcW w:type="dxa" w:w="2351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Settlement beneficiaries for v1.0: NIMASA, Port Authority, Blue Wave, Liquid Payments. Each is a named beneficiary in the SplitRule.</w:t>
            </w:r>
          </w:p>
        </w:tc>
        <w:tc>
          <w:tcPr>
            <w:tcW w:type="dxa" w:w="2351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MUST</w:t>
            </w:r>
          </w:p>
        </w:tc>
        <w:tc>
          <w:tcPr>
            <w:tcW w:type="dxa" w:w="2351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Business rule</w:t>
            </w:r>
          </w:p>
        </w:tc>
      </w:tr>
      <w:tr>
        <w:tc>
          <w:tcPr>
            <w:tcW w:type="dxa" w:w="2351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STL-03</w:t>
            </w:r>
          </w:p>
        </w:tc>
        <w:tc>
          <w:tcPr>
            <w:tcW w:type="dxa" w:w="2351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SplitRule allocations are expressed in basis points. All basis points across all beneficiaries for a given rule must sum to exactly 10,000 (= 100%). Invalid rules are rejected at save time.</w:t>
            </w:r>
          </w:p>
        </w:tc>
        <w:tc>
          <w:tcPr>
            <w:tcW w:type="dxa" w:w="2351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MUST</w:t>
            </w:r>
          </w:p>
        </w:tc>
        <w:tc>
          <w:tcPr>
            <w:tcW w:type="dxa" w:w="2351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Domain invariant</w:t>
            </w:r>
          </w:p>
        </w:tc>
      </w:tr>
      <w:tr>
        <w:tc>
          <w:tcPr>
            <w:tcW w:type="dxa" w:w="2351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STL-04</w:t>
            </w:r>
          </w:p>
        </w:tc>
        <w:tc>
          <w:tcPr>
            <w:tcW w:type="dxa" w:w="2351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Each beneficiary has a Wallet. Settlement credits each beneficiary's Wallet with their allocated share. Ledger entries are append-only.</w:t>
            </w:r>
          </w:p>
        </w:tc>
        <w:tc>
          <w:tcPr>
            <w:tcW w:type="dxa" w:w="2351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MUST</w:t>
            </w:r>
          </w:p>
        </w:tc>
        <w:tc>
          <w:tcPr>
            <w:tcW w:type="dxa" w:w="2351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Ledger integrity</w:t>
            </w:r>
          </w:p>
        </w:tc>
      </w:tr>
      <w:tr>
        <w:tc>
          <w:tcPr>
            <w:tcW w:type="dxa" w:w="2351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STL-05</w:t>
            </w:r>
          </w:p>
        </w:tc>
        <w:tc>
          <w:tcPr>
            <w:tcW w:type="dxa" w:w="2351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Collected funds are held in an escrow wallet until a SettlementBatch is triggered. Escrow is never credited below zero.</w:t>
            </w:r>
          </w:p>
        </w:tc>
        <w:tc>
          <w:tcPr>
            <w:tcW w:type="dxa" w:w="2351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MUST</w:t>
            </w:r>
          </w:p>
        </w:tc>
        <w:tc>
          <w:tcPr>
            <w:tcW w:type="dxa" w:w="2351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Financial safety</w:t>
            </w:r>
          </w:p>
        </w:tc>
      </w:tr>
      <w:tr>
        <w:tc>
          <w:tcPr>
            <w:tcW w:type="dxa" w:w="2351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STL-06</w:t>
            </w:r>
          </w:p>
        </w:tc>
        <w:tc>
          <w:tcPr>
            <w:tcW w:type="dxa" w:w="2351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SettlementBatch is triggered on a configurable schedule (daily or weekly, configurable by ADMIN without code deployment).</w:t>
            </w:r>
          </w:p>
        </w:tc>
        <w:tc>
          <w:tcPr>
            <w:tcW w:type="dxa" w:w="2351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MUST</w:t>
            </w:r>
          </w:p>
        </w:tc>
        <w:tc>
          <w:tcPr>
            <w:tcW w:type="dxa" w:w="2351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Operations</w:t>
            </w:r>
          </w:p>
        </w:tc>
      </w:tr>
      <w:tr>
        <w:tc>
          <w:tcPr>
            <w:tcW w:type="dxa" w:w="2351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STL-07</w:t>
            </w:r>
          </w:p>
        </w:tc>
        <w:tc>
          <w:tcPr>
            <w:tcW w:type="dxa" w:w="2351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NGN payouts are disbursed via Paystack Transfer API or Flutterwave Transfer API to registered Nigerian bank accounts.</w:t>
            </w:r>
          </w:p>
        </w:tc>
        <w:tc>
          <w:tcPr>
            <w:tcW w:type="dxa" w:w="2351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MUST</w:t>
            </w:r>
          </w:p>
        </w:tc>
        <w:tc>
          <w:tcPr>
            <w:tcW w:type="dxa" w:w="2351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NGN payout</w:t>
            </w:r>
          </w:p>
        </w:tc>
      </w:tr>
      <w:tr>
        <w:tc>
          <w:tcPr>
            <w:tcW w:type="dxa" w:w="2351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STL-08</w:t>
            </w:r>
          </w:p>
        </w:tc>
        <w:tc>
          <w:tcPr>
            <w:tcW w:type="dxa" w:w="2351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USD payouts to international beneficiaries are disbursed via Wise Business API (primary). SWIFT wire is a fallback for Wise-unsupported corridors.</w:t>
            </w:r>
          </w:p>
        </w:tc>
        <w:tc>
          <w:tcPr>
            <w:tcW w:type="dxa" w:w="2351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MUST</w:t>
            </w:r>
          </w:p>
        </w:tc>
        <w:tc>
          <w:tcPr>
            <w:tcW w:type="dxa" w:w="2351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USD payout</w:t>
            </w:r>
          </w:p>
        </w:tc>
      </w:tr>
      <w:tr>
        <w:tc>
          <w:tcPr>
            <w:tcW w:type="dxa" w:w="2351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STL-09</w:t>
            </w:r>
          </w:p>
        </w:tc>
        <w:tc>
          <w:tcPr>
            <w:tcW w:type="dxa" w:w="2351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The Wise Business API integration must support: balance check, recipient creation, transfer initiation, transfer status polling, and webhook confirmation.</w:t>
            </w:r>
          </w:p>
        </w:tc>
        <w:tc>
          <w:tcPr>
            <w:tcW w:type="dxa" w:w="2351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MUST</w:t>
            </w:r>
          </w:p>
        </w:tc>
        <w:tc>
          <w:tcPr>
            <w:tcW w:type="dxa" w:w="2351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Wise integration</w:t>
            </w:r>
          </w:p>
        </w:tc>
      </w:tr>
      <w:tr>
        <w:tc>
          <w:tcPr>
            <w:tcW w:type="dxa" w:w="2351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STL-10</w:t>
            </w:r>
          </w:p>
        </w:tc>
        <w:tc>
          <w:tcPr>
            <w:tcW w:type="dxa" w:w="2351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Future: USD payout via stablecoin (USDT/USDC) rails. Architecture must support a pluggable payout adapter interface, same pattern as payment gateway.</w:t>
            </w:r>
          </w:p>
        </w:tc>
        <w:tc>
          <w:tcPr>
            <w:tcW w:type="dxa" w:w="2351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MUST</w:t>
            </w:r>
          </w:p>
        </w:tc>
        <w:tc>
          <w:tcPr>
            <w:tcW w:type="dxa" w:w="2351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Architecture</w:t>
            </w:r>
          </w:p>
        </w:tc>
      </w:tr>
      <w:tr>
        <w:tc>
          <w:tcPr>
            <w:tcW w:type="dxa" w:w="2351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STL-11</w:t>
            </w:r>
          </w:p>
        </w:tc>
        <w:tc>
          <w:tcPr>
            <w:tcW w:type="dxa" w:w="2351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Payout failure is recorded on the SettlementBatch with error detail. Failed payouts trigger an admin alert and must be retried manually or via an admin-initiated retry action.</w:t>
            </w:r>
          </w:p>
        </w:tc>
        <w:tc>
          <w:tcPr>
            <w:tcW w:type="dxa" w:w="2351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MUST</w:t>
            </w:r>
          </w:p>
        </w:tc>
        <w:tc>
          <w:tcPr>
            <w:tcW w:type="dxa" w:w="2351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Resilience</w:t>
            </w:r>
          </w:p>
        </w:tc>
      </w:tr>
      <w:tr>
        <w:tc>
          <w:tcPr>
            <w:tcW w:type="dxa" w:w="2351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STL-12</w:t>
            </w:r>
          </w:p>
        </w:tc>
        <w:tc>
          <w:tcPr>
            <w:tcW w:type="dxa" w:w="2351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Wallet available balance may never go below zero. Any operation that would result in a negative balance is rejected.</w:t>
            </w:r>
          </w:p>
        </w:tc>
        <w:tc>
          <w:tcPr>
            <w:tcW w:type="dxa" w:w="2351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MUST</w:t>
            </w:r>
          </w:p>
        </w:tc>
        <w:tc>
          <w:tcPr>
            <w:tcW w:type="dxa" w:w="2351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Domain invariant</w:t>
            </w:r>
          </w:p>
        </w:tc>
      </w:tr>
      <w:tr>
        <w:tc>
          <w:tcPr>
            <w:tcW w:type="dxa" w:w="2351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STL-13</w:t>
            </w:r>
          </w:p>
        </w:tc>
        <w:tc>
          <w:tcPr>
            <w:tcW w:type="dxa" w:w="2351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All LedgerEntry records are append-only. No updates or deletes on ledger data. There is no updatedAt field on ledger entries.</w:t>
            </w:r>
          </w:p>
        </w:tc>
        <w:tc>
          <w:tcPr>
            <w:tcW w:type="dxa" w:w="2351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MUST</w:t>
            </w:r>
          </w:p>
        </w:tc>
        <w:tc>
          <w:tcPr>
            <w:tcW w:type="dxa" w:w="2351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Ledger integrity</w:t>
            </w:r>
          </w:p>
        </w:tc>
      </w:tr>
      <w:tr>
        <w:tc>
          <w:tcPr>
            <w:tcW w:type="dxa" w:w="2351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STL-14</w:t>
            </w:r>
          </w:p>
        </w:tc>
        <w:tc>
          <w:tcPr>
            <w:tcW w:type="dxa" w:w="2351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A beneficiary's Finance Officer can view their wallet balance, ledger history, and payout history. They cannot view other beneficiaries' data.</w:t>
            </w:r>
          </w:p>
        </w:tc>
        <w:tc>
          <w:tcPr>
            <w:tcW w:type="dxa" w:w="2351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MUST</w:t>
            </w:r>
          </w:p>
        </w:tc>
        <w:tc>
          <w:tcPr>
            <w:tcW w:type="dxa" w:w="2351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Data isolation</w:t>
            </w:r>
          </w:p>
        </w:tc>
      </w:tr>
      <w:tr>
        <w:tc>
          <w:tcPr>
            <w:tcW w:type="dxa" w:w="2351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STL-15</w:t>
            </w:r>
          </w:p>
        </w:tc>
        <w:tc>
          <w:tcPr>
            <w:tcW w:type="dxa" w:w="2351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Platform Admin can view all wallets, all settlement batches, and all payout records across beneficiaries.</w:t>
            </w:r>
          </w:p>
        </w:tc>
        <w:tc>
          <w:tcPr>
            <w:tcW w:type="dxa" w:w="2351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MUST</w:t>
            </w:r>
          </w:p>
        </w:tc>
        <w:tc>
          <w:tcPr>
            <w:tcW w:type="dxa" w:w="2351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Admin capability</w:t>
            </w:r>
          </w:p>
        </w:tc>
      </w:tr>
      <w:tr>
        <w:tc>
          <w:tcPr>
            <w:tcW w:type="dxa" w:w="2351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STL-16</w:t>
            </w:r>
          </w:p>
        </w:tc>
        <w:tc>
          <w:tcPr>
            <w:tcW w:type="dxa" w:w="2351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SplitRule may be versioned. A new version takes effect from a configured date. Historical PaymentOrders retain the SplitRule version active at their creation time.</w:t>
            </w:r>
          </w:p>
        </w:tc>
        <w:tc>
          <w:tcPr>
            <w:tcW w:type="dxa" w:w="2351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SHOULD</w:t>
            </w:r>
          </w:p>
        </w:tc>
        <w:tc>
          <w:tcPr>
            <w:tcW w:type="dxa" w:w="2351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Auditability</w:t>
            </w:r>
          </w:p>
        </w:tc>
      </w:tr>
    </w:tbl>
    <w:p/>
    <w:p>
      <w:pPr>
        <w:spacing w:before="240" w:after="80"/>
      </w:pPr>
      <w:r>
        <w:rPr>
          <w:b/>
          <w:color w:val="008B8B"/>
          <w:sz w:val="26"/>
        </w:rPr>
        <w:t>4.5  Reporting &amp; Audit (RPT)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A2E4A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6"/>
              </w:rPr>
              <w:t>Req ID</w:t>
            </w:r>
          </w:p>
        </w:tc>
        <w:tc>
          <w:tcPr>
            <w:tcW w:type="dxa" w:w="2351"/>
            <w:shd w:val="clear" w:color="auto" w:fill="1A2E4A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6"/>
              </w:rPr>
              <w:t>Requirement Description</w:t>
            </w:r>
          </w:p>
        </w:tc>
        <w:tc>
          <w:tcPr>
            <w:tcW w:type="dxa" w:w="2351"/>
            <w:shd w:val="clear" w:color="auto" w:fill="1A2E4A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6"/>
              </w:rPr>
              <w:t>Priority</w:t>
            </w:r>
          </w:p>
        </w:tc>
        <w:tc>
          <w:tcPr>
            <w:tcW w:type="dxa" w:w="2351"/>
            <w:shd w:val="clear" w:color="auto" w:fill="1A2E4A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6"/>
              </w:rPr>
              <w:t>Notes / Source</w:t>
            </w:r>
          </w:p>
        </w:tc>
      </w:tr>
      <w:tr>
        <w:tc>
          <w:tcPr>
            <w:tcW w:type="dxa" w:w="2351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RPT-01</w:t>
            </w:r>
          </w:p>
        </w:tc>
        <w:tc>
          <w:tcPr>
            <w:tcW w:type="dxa" w:w="2351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All domain events (PaymentOrderCreated, PaymentCompleted, PaymentFailed, WalletCredited, SettlementDispatched, etc.) are persisted to the reporting_domain_events outbox table before any downstream processing.</w:t>
            </w:r>
          </w:p>
        </w:tc>
        <w:tc>
          <w:tcPr>
            <w:tcW w:type="dxa" w:w="2351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MUST</w:t>
            </w:r>
          </w:p>
        </w:tc>
        <w:tc>
          <w:tcPr>
            <w:tcW w:type="dxa" w:w="2351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Event sourcing / audit</w:t>
            </w:r>
          </w:p>
        </w:tc>
      </w:tr>
      <w:tr>
        <w:tc>
          <w:tcPr>
            <w:tcW w:type="dxa" w:w="2351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RPT-02</w:t>
            </w:r>
          </w:p>
        </w:tc>
        <w:tc>
          <w:tcPr>
            <w:tcW w:type="dxa" w:w="2351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The outbox pattern ensures events are not lost if downstream consumers (BullMQ workers) are unavailable.</w:t>
            </w:r>
          </w:p>
        </w:tc>
        <w:tc>
          <w:tcPr>
            <w:tcW w:type="dxa" w:w="2351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MUST</w:t>
            </w:r>
          </w:p>
        </w:tc>
        <w:tc>
          <w:tcPr>
            <w:tcW w:type="dxa" w:w="2351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Reliability</w:t>
            </w:r>
          </w:p>
        </w:tc>
      </w:tr>
      <w:tr>
        <w:tc>
          <w:tcPr>
            <w:tcW w:type="dxa" w:w="2351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RPT-03</w:t>
            </w:r>
          </w:p>
        </w:tc>
        <w:tc>
          <w:tcPr>
            <w:tcW w:type="dxa" w:w="2351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Revenue summary reports: filterable by date range, port of call, vessel, beneficiary, currency, payment status.</w:t>
            </w:r>
          </w:p>
        </w:tc>
        <w:tc>
          <w:tcPr>
            <w:tcW w:type="dxa" w:w="2351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MUST</w:t>
            </w:r>
          </w:p>
        </w:tc>
        <w:tc>
          <w:tcPr>
            <w:tcW w:type="dxa" w:w="2351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Reporting</w:t>
            </w:r>
          </w:p>
        </w:tc>
      </w:tr>
      <w:tr>
        <w:tc>
          <w:tcPr>
            <w:tcW w:type="dxa" w:w="2351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RPT-04</w:t>
            </w:r>
          </w:p>
        </w:tc>
        <w:tc>
          <w:tcPr>
            <w:tcW w:type="dxa" w:w="2351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Settlement batch reports: per batch, showing each beneficiary allocation, payout status, and amounts.</w:t>
            </w:r>
          </w:p>
        </w:tc>
        <w:tc>
          <w:tcPr>
            <w:tcW w:type="dxa" w:w="2351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MUST</w:t>
            </w:r>
          </w:p>
        </w:tc>
        <w:tc>
          <w:tcPr>
            <w:tcW w:type="dxa" w:w="2351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Reporting</w:t>
            </w:r>
          </w:p>
        </w:tc>
      </w:tr>
      <w:tr>
        <w:tc>
          <w:tcPr>
            <w:tcW w:type="dxa" w:w="2351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RPT-05</w:t>
            </w:r>
          </w:p>
        </w:tc>
        <w:tc>
          <w:tcPr>
            <w:tcW w:type="dxa" w:w="2351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Vessel payment history: all PaymentOrders for a given IMO number, with status, amount, date, and receipt link.</w:t>
            </w:r>
          </w:p>
        </w:tc>
        <w:tc>
          <w:tcPr>
            <w:tcW w:type="dxa" w:w="2351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MUST</w:t>
            </w:r>
          </w:p>
        </w:tc>
        <w:tc>
          <w:tcPr>
            <w:tcW w:type="dxa" w:w="2351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Reporting</w:t>
            </w:r>
          </w:p>
        </w:tc>
      </w:tr>
      <w:tr>
        <w:tc>
          <w:tcPr>
            <w:tcW w:type="dxa" w:w="2351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RPT-06</w:t>
            </w:r>
          </w:p>
        </w:tc>
        <w:tc>
          <w:tcPr>
            <w:tcW w:type="dxa" w:w="2351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Export formats: CSV (machine-readable) and PDF (human-readable) for all reports.</w:t>
            </w:r>
          </w:p>
        </w:tc>
        <w:tc>
          <w:tcPr>
            <w:tcW w:type="dxa" w:w="2351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MUST</w:t>
            </w:r>
          </w:p>
        </w:tc>
        <w:tc>
          <w:tcPr>
            <w:tcW w:type="dxa" w:w="2351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Compliance</w:t>
            </w:r>
          </w:p>
        </w:tc>
      </w:tr>
      <w:tr>
        <w:tc>
          <w:tcPr>
            <w:tcW w:type="dxa" w:w="2351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RPT-07</w:t>
            </w:r>
          </w:p>
        </w:tc>
        <w:tc>
          <w:tcPr>
            <w:tcW w:type="dxa" w:w="2351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Audit log: every create/update action on any aggregate is logged with actor, timestamp, old value (if applicable), new value, and IP address.</w:t>
            </w:r>
          </w:p>
        </w:tc>
        <w:tc>
          <w:tcPr>
            <w:tcW w:type="dxa" w:w="2351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MUST</w:t>
            </w:r>
          </w:p>
        </w:tc>
        <w:tc>
          <w:tcPr>
            <w:tcW w:type="dxa" w:w="2351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NDPR / GDPR</w:t>
            </w:r>
          </w:p>
        </w:tc>
      </w:tr>
      <w:tr>
        <w:tc>
          <w:tcPr>
            <w:tcW w:type="dxa" w:w="2351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RPT-08</w:t>
            </w:r>
          </w:p>
        </w:tc>
        <w:tc>
          <w:tcPr>
            <w:tcW w:type="dxa" w:w="2351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AUDITOR role can access all reports and the audit log but cannot export data without explicit ADMIN approval (export approval workflow).</w:t>
            </w:r>
          </w:p>
        </w:tc>
        <w:tc>
          <w:tcPr>
            <w:tcW w:type="dxa" w:w="2351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COULD</w:t>
            </w:r>
          </w:p>
        </w:tc>
        <w:tc>
          <w:tcPr>
            <w:tcW w:type="dxa" w:w="2351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Compliance+</w:t>
            </w:r>
          </w:p>
        </w:tc>
      </w:tr>
      <w:tr>
        <w:tc>
          <w:tcPr>
            <w:tcW w:type="dxa" w:w="2351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RPT-09</w:t>
            </w:r>
          </w:p>
        </w:tc>
        <w:tc>
          <w:tcPr>
            <w:tcW w:type="dxa" w:w="2351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Admin dashboard: real-time revenue KPIs (total collected today/week/month, by currency, by beneficiary).</w:t>
            </w:r>
          </w:p>
        </w:tc>
        <w:tc>
          <w:tcPr>
            <w:tcW w:type="dxa" w:w="2351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SHOULD</w:t>
            </w:r>
          </w:p>
        </w:tc>
        <w:tc>
          <w:tcPr>
            <w:tcW w:type="dxa" w:w="2351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Operations</w:t>
            </w:r>
          </w:p>
        </w:tc>
      </w:tr>
      <w:tr>
        <w:tc>
          <w:tcPr>
            <w:tcW w:type="dxa" w:w="2351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RPT-10</w:t>
            </w:r>
          </w:p>
        </w:tc>
        <w:tc>
          <w:tcPr>
            <w:tcW w:type="dxa" w:w="2351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Automated scheduled report delivery: configurable reports emailed to FINANCE officers on a schedule.</w:t>
            </w:r>
          </w:p>
        </w:tc>
        <w:tc>
          <w:tcPr>
            <w:tcW w:type="dxa" w:w="2351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COULD</w:t>
            </w:r>
          </w:p>
        </w:tc>
        <w:tc>
          <w:tcPr>
            <w:tcW w:type="dxa" w:w="2351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Nice-to-have</w:t>
            </w:r>
          </w:p>
        </w:tc>
      </w:tr>
    </w:tbl>
    <w:p/>
    <w:p>
      <w:pPr>
        <w:spacing w:before="240" w:after="80"/>
      </w:pPr>
      <w:r>
        <w:rPr>
          <w:b/>
          <w:color w:val="008B8B"/>
          <w:sz w:val="26"/>
        </w:rPr>
        <w:t>4.6  Notifications (NTF)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A2E4A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6"/>
              </w:rPr>
              <w:t>Req ID</w:t>
            </w:r>
          </w:p>
        </w:tc>
        <w:tc>
          <w:tcPr>
            <w:tcW w:type="dxa" w:w="2351"/>
            <w:shd w:val="clear" w:color="auto" w:fill="1A2E4A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6"/>
              </w:rPr>
              <w:t>Requirement Description</w:t>
            </w:r>
          </w:p>
        </w:tc>
        <w:tc>
          <w:tcPr>
            <w:tcW w:type="dxa" w:w="2351"/>
            <w:shd w:val="clear" w:color="auto" w:fill="1A2E4A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6"/>
              </w:rPr>
              <w:t>Priority</w:t>
            </w:r>
          </w:p>
        </w:tc>
        <w:tc>
          <w:tcPr>
            <w:tcW w:type="dxa" w:w="2351"/>
            <w:shd w:val="clear" w:color="auto" w:fill="1A2E4A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6"/>
              </w:rPr>
              <w:t>Notes / Source</w:t>
            </w:r>
          </w:p>
        </w:tc>
      </w:tr>
      <w:tr>
        <w:tc>
          <w:tcPr>
            <w:tcW w:type="dxa" w:w="2351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NTF-01</w:t>
            </w:r>
          </w:p>
        </w:tc>
        <w:tc>
          <w:tcPr>
            <w:tcW w:type="dxa" w:w="2351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Email confirmation sent to vessel operator email on PaymentCompleted, including: amount paid, currency, Payment Ref ID, transaction reference, and PDF receipt attachment.</w:t>
            </w:r>
          </w:p>
        </w:tc>
        <w:tc>
          <w:tcPr>
            <w:tcW w:type="dxa" w:w="2351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MUST</w:t>
            </w:r>
          </w:p>
        </w:tc>
        <w:tc>
          <w:tcPr>
            <w:tcW w:type="dxa" w:w="2351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Core UX</w:t>
            </w:r>
          </w:p>
        </w:tc>
      </w:tr>
      <w:tr>
        <w:tc>
          <w:tcPr>
            <w:tcW w:type="dxa" w:w="2351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NTF-02</w:t>
            </w:r>
          </w:p>
        </w:tc>
        <w:tc>
          <w:tcPr>
            <w:tcW w:type="dxa" w:w="2351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Email alert to platform ADMIN on PaymentFailed (gateway failure, not operator cancellation).</w:t>
            </w:r>
          </w:p>
        </w:tc>
        <w:tc>
          <w:tcPr>
            <w:tcW w:type="dxa" w:w="2351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MUST</w:t>
            </w:r>
          </w:p>
        </w:tc>
        <w:tc>
          <w:tcPr>
            <w:tcW w:type="dxa" w:w="2351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Operations</w:t>
            </w:r>
          </w:p>
        </w:tc>
      </w:tr>
      <w:tr>
        <w:tc>
          <w:tcPr>
            <w:tcW w:type="dxa" w:w="2351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NTF-03</w:t>
            </w:r>
          </w:p>
        </w:tc>
        <w:tc>
          <w:tcPr>
            <w:tcW w:type="dxa" w:w="2351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Email alert to platform ADMIN on SettlementFailed (payout failure).</w:t>
            </w:r>
          </w:p>
        </w:tc>
        <w:tc>
          <w:tcPr>
            <w:tcW w:type="dxa" w:w="2351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MUST</w:t>
            </w:r>
          </w:p>
        </w:tc>
        <w:tc>
          <w:tcPr>
            <w:tcW w:type="dxa" w:w="2351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Operations</w:t>
            </w:r>
          </w:p>
        </w:tc>
      </w:tr>
      <w:tr>
        <w:tc>
          <w:tcPr>
            <w:tcW w:type="dxa" w:w="2351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NTF-04</w:t>
            </w:r>
          </w:p>
        </w:tc>
        <w:tc>
          <w:tcPr>
            <w:tcW w:type="dxa" w:w="2351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In-app notification to FINANCE officer when a SettlementBatch is completed and wallet is credited.</w:t>
            </w:r>
          </w:p>
        </w:tc>
        <w:tc>
          <w:tcPr>
            <w:tcW w:type="dxa" w:w="2351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MUST</w:t>
            </w:r>
          </w:p>
        </w:tc>
        <w:tc>
          <w:tcPr>
            <w:tcW w:type="dxa" w:w="2351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UX</w:t>
            </w:r>
          </w:p>
        </w:tc>
      </w:tr>
      <w:tr>
        <w:tc>
          <w:tcPr>
            <w:tcW w:type="dxa" w:w="2351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NTF-05</w:t>
            </w:r>
          </w:p>
        </w:tc>
        <w:tc>
          <w:tcPr>
            <w:tcW w:type="dxa" w:w="2351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Webhook callback to external emission authority on PaymentCompleted (see EMS-10).</w:t>
            </w:r>
          </w:p>
        </w:tc>
        <w:tc>
          <w:tcPr>
            <w:tcW w:type="dxa" w:w="2351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MUST</w:t>
            </w:r>
          </w:p>
        </w:tc>
        <w:tc>
          <w:tcPr>
            <w:tcW w:type="dxa" w:w="2351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External integration</w:t>
            </w:r>
          </w:p>
        </w:tc>
      </w:tr>
      <w:tr>
        <w:tc>
          <w:tcPr>
            <w:tcW w:type="dxa" w:w="2351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NTF-06</w:t>
            </w:r>
          </w:p>
        </w:tc>
        <w:tc>
          <w:tcPr>
            <w:tcW w:type="dxa" w:w="2351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SMS notification to vessel operator on PaymentCompleted (configurable opt-in at org level).</w:t>
            </w:r>
          </w:p>
        </w:tc>
        <w:tc>
          <w:tcPr>
            <w:tcW w:type="dxa" w:w="2351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SHOULD</w:t>
            </w:r>
          </w:p>
        </w:tc>
        <w:tc>
          <w:tcPr>
            <w:tcW w:type="dxa" w:w="2351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UX</w:t>
            </w:r>
          </w:p>
        </w:tc>
      </w:tr>
      <w:tr>
        <w:tc>
          <w:tcPr>
            <w:tcW w:type="dxa" w:w="2351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NTF-07</w:t>
            </w:r>
          </w:p>
        </w:tc>
        <w:tc>
          <w:tcPr>
            <w:tcW w:type="dxa" w:w="2351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Email reminder to vessel operator if a Payment Ref ID has been looked up but not paid within 24 hours.</w:t>
            </w:r>
          </w:p>
        </w:tc>
        <w:tc>
          <w:tcPr>
            <w:tcW w:type="dxa" w:w="2351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COULD</w:t>
            </w:r>
          </w:p>
        </w:tc>
        <w:tc>
          <w:tcPr>
            <w:tcW w:type="dxa" w:w="2351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Conversion</w:t>
            </w:r>
          </w:p>
        </w:tc>
      </w:tr>
      <w:tr>
        <w:tc>
          <w:tcPr>
            <w:tcW w:type="dxa" w:w="2351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NTF-08</w:t>
            </w:r>
          </w:p>
        </w:tc>
        <w:tc>
          <w:tcPr>
            <w:tcW w:type="dxa" w:w="2351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All notification templates are configurable by ADMIN without code deployment (template stored in DB).</w:t>
            </w:r>
          </w:p>
        </w:tc>
        <w:tc>
          <w:tcPr>
            <w:tcW w:type="dxa" w:w="2351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SHOULD</w:t>
            </w:r>
          </w:p>
        </w:tc>
        <w:tc>
          <w:tcPr>
            <w:tcW w:type="dxa" w:w="2351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Operations</w:t>
            </w:r>
          </w:p>
        </w:tc>
      </w:tr>
    </w:tbl>
    <w:p/>
    <w:p>
      <w:pPr>
        <w:pBdr>
          <w:bottom w:val="single" w:sz="6" w:space="1" w:color="008B8B"/>
        </w:pBdr>
        <w:spacing w:before="400" w:after="120"/>
      </w:pPr>
      <w:r>
        <w:rPr>
          <w:b/>
          <w:color w:val="0D1B3E"/>
          <w:sz w:val="32"/>
        </w:rPr>
        <w:t>5. Payment &amp; Currency Requirements</w:t>
      </w:r>
    </w:p>
    <w:p>
      <w:pPr>
        <w:spacing w:before="240" w:after="80"/>
      </w:pPr>
      <w:r>
        <w:rPr>
          <w:b/>
          <w:color w:val="008B8B"/>
          <w:sz w:val="26"/>
        </w:rPr>
        <w:t>5.1  Multi-Currency Architecture</w:t>
      </w:r>
    </w:p>
    <w:p>
      <w:pPr>
        <w:spacing w:after="80"/>
      </w:pPr>
      <w:r>
        <w:rPr>
          <w:i w:val="0"/>
          <w:sz w:val="20"/>
        </w:rPr>
        <w:t>The platform is USD-native in billing but multi-currency in collection. The following table summarises the currency and gateway matrix for v1.0 and planned future phases.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1A2E4A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6"/>
              </w:rPr>
              <w:t>Currency</w:t>
            </w:r>
          </w:p>
        </w:tc>
        <w:tc>
          <w:tcPr>
            <w:tcW w:type="dxa" w:w="1881"/>
            <w:shd w:val="clear" w:color="auto" w:fill="1A2E4A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6"/>
              </w:rPr>
              <w:t>Collection Gateway(s)</w:t>
            </w:r>
          </w:p>
        </w:tc>
        <w:tc>
          <w:tcPr>
            <w:tcW w:type="dxa" w:w="1881"/>
            <w:shd w:val="clear" w:color="auto" w:fill="1A2E4A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6"/>
              </w:rPr>
              <w:t>Payout Method</w:t>
            </w:r>
          </w:p>
        </w:tc>
        <w:tc>
          <w:tcPr>
            <w:tcW w:type="dxa" w:w="1881"/>
            <w:shd w:val="clear" w:color="auto" w:fill="1A2E4A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6"/>
              </w:rPr>
              <w:t>Phase</w:t>
            </w:r>
          </w:p>
        </w:tc>
        <w:tc>
          <w:tcPr>
            <w:tcW w:type="dxa" w:w="1881"/>
            <w:shd w:val="clear" w:color="auto" w:fill="1A2E4A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6"/>
              </w:rPr>
              <w:t>Notes</w:t>
            </w:r>
          </w:p>
        </w:tc>
      </w:tr>
      <w:tr>
        <w:tc>
          <w:tcPr>
            <w:tcW w:type="dxa" w:w="1881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USD</w:t>
            </w:r>
          </w:p>
        </w:tc>
        <w:tc>
          <w:tcPr>
            <w:tcW w:type="dxa" w:w="1881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Flutterwave (primary), Paystack USD (secondary)</w:t>
            </w:r>
          </w:p>
        </w:tc>
        <w:tc>
          <w:tcPr>
            <w:tcW w:type="dxa" w:w="1881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Wise Business API (primary)</w:t>
            </w:r>
          </w:p>
        </w:tc>
        <w:tc>
          <w:tcPr>
            <w:tcW w:type="dxa" w:w="1881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v1.0</w:t>
            </w:r>
          </w:p>
        </w:tc>
        <w:tc>
          <w:tcPr>
            <w:tcW w:type="dxa" w:w="1881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USD card / bank transfer</w:t>
            </w:r>
          </w:p>
        </w:tc>
      </w:tr>
      <w:tr>
        <w:tc>
          <w:tcPr>
            <w:tcW w:type="dxa" w:w="1881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NGN</w:t>
            </w:r>
          </w:p>
        </w:tc>
        <w:tc>
          <w:tcPr>
            <w:tcW w:type="dxa" w:w="1881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Paystack (primary), Flutterwave (secondary)</w:t>
            </w:r>
          </w:p>
        </w:tc>
        <w:tc>
          <w:tcPr>
            <w:tcW w:type="dxa" w:w="1881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Paystack Transfer API</w:t>
            </w:r>
          </w:p>
        </w:tc>
        <w:tc>
          <w:tcPr>
            <w:tcW w:type="dxa" w:w="1881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v1.0</w:t>
            </w:r>
          </w:p>
        </w:tc>
        <w:tc>
          <w:tcPr>
            <w:tcW w:type="dxa" w:w="1881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Card, bank transfer, USSD</w:t>
            </w:r>
          </w:p>
        </w:tc>
      </w:tr>
      <w:tr>
        <w:tc>
          <w:tcPr>
            <w:tcW w:type="dxa" w:w="1881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USDT</w:t>
            </w:r>
          </w:p>
        </w:tc>
        <w:tc>
          <w:tcPr>
            <w:tcW w:type="dxa" w:w="1881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Crypto gateway (TBD — e.g., Coinbase Commerce)</w:t>
            </w:r>
          </w:p>
        </w:tc>
        <w:tc>
          <w:tcPr>
            <w:tcW w:type="dxa" w:w="1881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On-chain transfer / off-ramp</w:t>
            </w:r>
          </w:p>
        </w:tc>
        <w:tc>
          <w:tcPr>
            <w:tcW w:type="dxa" w:w="1881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Future</w:t>
            </w:r>
          </w:p>
        </w:tc>
        <w:tc>
          <w:tcPr>
            <w:tcW w:type="dxa" w:w="1881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ERC-20 / TRC-20 stablecoin</w:t>
            </w:r>
          </w:p>
        </w:tc>
      </w:tr>
      <w:tr>
        <w:tc>
          <w:tcPr>
            <w:tcW w:type="dxa" w:w="1881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USDC</w:t>
            </w:r>
          </w:p>
        </w:tc>
        <w:tc>
          <w:tcPr>
            <w:tcW w:type="dxa" w:w="1881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Crypto gateway (TBD)</w:t>
            </w:r>
          </w:p>
        </w:tc>
        <w:tc>
          <w:tcPr>
            <w:tcW w:type="dxa" w:w="1881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Circle API / on-chain</w:t>
            </w:r>
          </w:p>
        </w:tc>
        <w:tc>
          <w:tcPr>
            <w:tcW w:type="dxa" w:w="1881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Future</w:t>
            </w:r>
          </w:p>
        </w:tc>
        <w:tc>
          <w:tcPr>
            <w:tcW w:type="dxa" w:w="1881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ERC-20 stablecoin</w:t>
            </w:r>
          </w:p>
        </w:tc>
      </w:tr>
      <w:tr>
        <w:tc>
          <w:tcPr>
            <w:tcW w:type="dxa" w:w="1881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GBP</w:t>
            </w:r>
          </w:p>
        </w:tc>
        <w:tc>
          <w:tcPr>
            <w:tcW w:type="dxa" w:w="1881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Flutterwave (if demand exists)</w:t>
            </w:r>
          </w:p>
        </w:tc>
        <w:tc>
          <w:tcPr>
            <w:tcW w:type="dxa" w:w="1881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Wise Business API</w:t>
            </w:r>
          </w:p>
        </w:tc>
        <w:tc>
          <w:tcPr>
            <w:tcW w:type="dxa" w:w="1881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Future</w:t>
            </w:r>
          </w:p>
        </w:tc>
        <w:tc>
          <w:tcPr>
            <w:tcW w:type="dxa" w:w="1881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UK-based operators</w:t>
            </w:r>
          </w:p>
        </w:tc>
      </w:tr>
    </w:tbl>
    <w:p/>
    <w:p>
      <w:pPr>
        <w:spacing w:before="240" w:after="80"/>
      </w:pPr>
      <w:r>
        <w:rPr>
          <w:b/>
          <w:color w:val="008B8B"/>
          <w:sz w:val="26"/>
        </w:rPr>
        <w:t>5.2  FX Rate Management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2E4A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3135"/>
            <w:shd w:val="clear" w:color="auto" w:fill="1A2E4A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Requirement</w:t>
            </w:r>
          </w:p>
        </w:tc>
        <w:tc>
          <w:tcPr>
            <w:tcW w:type="dxa" w:w="3135"/>
            <w:shd w:val="clear" w:color="auto" w:fill="1A2E4A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Priority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FX-01</w:t>
            </w:r>
          </w:p>
        </w:tc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The FX rate (USD/NGN) is fetched from a configurable provider (e.g., ExchangeRate-API, Open Exchange Rates) at PaymentOrder creation time.</w:t>
            </w:r>
          </w:p>
        </w:tc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MUST</w:t>
            </w:r>
          </w:p>
        </w:tc>
      </w:tr>
      <w:tr>
        <w:tc>
          <w:tcPr>
            <w:tcW w:type="dxa" w:w="313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FX-02</w:t>
            </w:r>
          </w:p>
        </w:tc>
        <w:tc>
          <w:tcPr>
            <w:tcW w:type="dxa" w:w="313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The fetched rate is stored on the PaymentOrder and is immutable for the lifetime of that order. Rate fluctuations after creation do not affect an in-progress payment.</w:t>
            </w:r>
          </w:p>
        </w:tc>
        <w:tc>
          <w:tcPr>
            <w:tcW w:type="dxa" w:w="313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MUST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FX-03</w:t>
            </w:r>
          </w:p>
        </w:tc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FX provider is configurable by ADMIN. A fallback provider must be configured.</w:t>
            </w:r>
          </w:p>
        </w:tc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SHOULD</w:t>
            </w:r>
          </w:p>
        </w:tc>
      </w:tr>
      <w:tr>
        <w:tc>
          <w:tcPr>
            <w:tcW w:type="dxa" w:w="313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FX-04</w:t>
            </w:r>
          </w:p>
        </w:tc>
        <w:tc>
          <w:tcPr>
            <w:tcW w:type="dxa" w:w="313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If FX rate fetch fails, NGN payment option is disabled for that session. Only USD payment is offered until rate is recoverable.</w:t>
            </w:r>
          </w:p>
        </w:tc>
        <w:tc>
          <w:tcPr>
            <w:tcW w:type="dxa" w:w="313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MUST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FX-05</w:t>
            </w:r>
          </w:p>
        </w:tc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The FX rate shown to the operator includes a configurable spread margin (e.g., +0.5%) to offset FX risk. Margin is configurable by ADMIN.</w:t>
            </w:r>
          </w:p>
        </w:tc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SHOULD</w:t>
            </w:r>
          </w:p>
        </w:tc>
      </w:tr>
    </w:tbl>
    <w:p/>
    <w:p>
      <w:pPr>
        <w:spacing w:before="240" w:after="80"/>
      </w:pPr>
      <w:r>
        <w:rPr>
          <w:b/>
          <w:color w:val="008B8B"/>
          <w:sz w:val="26"/>
        </w:rPr>
        <w:t>5.3  Gateway Adapter Pattern</w:t>
      </w:r>
    </w:p>
    <w:p>
      <w:pPr>
        <w:spacing w:after="80"/>
      </w:pPr>
      <w:r>
        <w:rPr>
          <w:i w:val="0"/>
          <w:sz w:val="20"/>
        </w:rPr>
        <w:t>All payment gateway integrations MUST conform to a common PaymentGateway interface. This enables: (a) swapping or adding gateways without modifying core payment logic, (b) routing to different gateways per currency/configuration, and (c) a future own-gateway implementation as a drop-in adapter.</w:t>
      </w:r>
    </w:p>
    <w:p>
      <w:pPr>
        <w:spacing w:after="80"/>
      </w:pPr>
      <w:r>
        <w:rPr>
          <w:i w:val="0"/>
          <w:sz w:val="20"/>
        </w:rPr>
        <w:t>Required interface methods:</w:t>
      </w:r>
    </w:p>
    <w:p>
      <w:pPr>
        <w:pStyle w:val="ListBullet"/>
      </w:pPr>
    </w:p>
    <w:p>
      <w:pPr>
        <w:spacing w:after="80"/>
        <w:ind w:left="360"/>
      </w:pPr>
      <w:r>
        <w:rPr>
          <w:i w:val="0"/>
          <w:sz w:val="20"/>
        </w:rPr>
        <w:t>•  initiatePayment(order: PaymentOrder): GatewayResponse</w:t>
      </w:r>
    </w:p>
    <w:p>
      <w:pPr>
        <w:pStyle w:val="ListBullet"/>
      </w:pPr>
    </w:p>
    <w:p>
      <w:pPr>
        <w:spacing w:after="80"/>
        <w:ind w:left="360"/>
      </w:pPr>
      <w:r>
        <w:rPr>
          <w:i w:val="0"/>
          <w:sz w:val="20"/>
        </w:rPr>
        <w:t>•  verifyWebhook(payload: unknown, signature: string): boolean</w:t>
      </w:r>
    </w:p>
    <w:p>
      <w:pPr>
        <w:pStyle w:val="ListBullet"/>
      </w:pPr>
    </w:p>
    <w:p>
      <w:pPr>
        <w:spacing w:after="80"/>
        <w:ind w:left="360"/>
      </w:pPr>
      <w:r>
        <w:rPr>
          <w:i w:val="0"/>
          <w:sz w:val="20"/>
        </w:rPr>
        <w:t>•  handleWebhookEvent(event: GatewayEvent): DomainEvent</w:t>
      </w:r>
    </w:p>
    <w:p>
      <w:pPr>
        <w:pStyle w:val="ListBullet"/>
      </w:pPr>
    </w:p>
    <w:p>
      <w:pPr>
        <w:spacing w:after="80"/>
        <w:ind w:left="360"/>
      </w:pPr>
      <w:r>
        <w:rPr>
          <w:i w:val="0"/>
          <w:sz w:val="20"/>
        </w:rPr>
        <w:t>•  refundPayment(order: PaymentOrder, reason: string): RefundResponse</w:t>
      </w:r>
    </w:p>
    <w:p>
      <w:pPr>
        <w:pStyle w:val="ListBullet"/>
      </w:pPr>
    </w:p>
    <w:p>
      <w:pPr>
        <w:spacing w:after="80"/>
        <w:ind w:left="360"/>
      </w:pPr>
      <w:r>
        <w:rPr>
          <w:i w:val="0"/>
          <w:sz w:val="20"/>
        </w:rPr>
        <w:t>•  getPaymentStatus(gatewayRef: string): PaymentStatus</w:t>
      </w:r>
    </w:p>
    <w:p>
      <w:pPr>
        <w:spacing w:before="240" w:after="80"/>
      </w:pPr>
      <w:r>
        <w:rPr>
          <w:b/>
          <w:color w:val="008B8B"/>
          <w:sz w:val="26"/>
        </w:rPr>
        <w:t>5.4  USD Payout — Wise Business API</w:t>
      </w:r>
    </w:p>
    <w:p>
      <w:pPr>
        <w:spacing w:after="80"/>
      </w:pPr>
      <w:r>
        <w:rPr>
          <w:i w:val="0"/>
          <w:sz w:val="20"/>
        </w:rPr>
        <w:t>Wise Business API is selected as the primary USD payout mechanism over SWIFT wires due to lower fees, faster settlement (1–2 days vs 3–5 days), real-time rate locking, and developer-friendly API. The integration must support:</w:t>
      </w:r>
    </w:p>
    <w:p>
      <w:pPr>
        <w:pStyle w:val="ListBullet"/>
      </w:pPr>
    </w:p>
    <w:p>
      <w:pPr>
        <w:spacing w:after="80"/>
        <w:ind w:left="360"/>
      </w:pPr>
      <w:r>
        <w:rPr>
          <w:i w:val="0"/>
          <w:sz w:val="20"/>
        </w:rPr>
        <w:t>•  Profile verification and balance management</w:t>
      </w:r>
    </w:p>
    <w:p>
      <w:pPr>
        <w:pStyle w:val="ListBullet"/>
      </w:pPr>
    </w:p>
    <w:p>
      <w:pPr>
        <w:spacing w:after="80"/>
        <w:ind w:left="360"/>
      </w:pPr>
      <w:r>
        <w:rPr>
          <w:i w:val="0"/>
          <w:sz w:val="20"/>
        </w:rPr>
        <w:t>•  Recipient account creation (bank account details for USD payouts to US/EU/UK accounts)</w:t>
      </w:r>
    </w:p>
    <w:p>
      <w:pPr>
        <w:pStyle w:val="ListBullet"/>
      </w:pPr>
    </w:p>
    <w:p>
      <w:pPr>
        <w:spacing w:after="80"/>
        <w:ind w:left="360"/>
      </w:pPr>
      <w:r>
        <w:rPr>
          <w:i w:val="0"/>
          <w:sz w:val="20"/>
        </w:rPr>
        <w:t>•  Quote creation (lock exchange rate for payout amount)</w:t>
      </w:r>
    </w:p>
    <w:p>
      <w:pPr>
        <w:pStyle w:val="ListBullet"/>
      </w:pPr>
    </w:p>
    <w:p>
      <w:pPr>
        <w:spacing w:after="80"/>
        <w:ind w:left="360"/>
      </w:pPr>
      <w:r>
        <w:rPr>
          <w:i w:val="0"/>
          <w:sz w:val="20"/>
        </w:rPr>
        <w:t>•  Transfer creation and confirmation</w:t>
      </w:r>
    </w:p>
    <w:p>
      <w:pPr>
        <w:pStyle w:val="ListBullet"/>
      </w:pPr>
    </w:p>
    <w:p>
      <w:pPr>
        <w:spacing w:after="80"/>
        <w:ind w:left="360"/>
      </w:pPr>
      <w:r>
        <w:rPr>
          <w:i w:val="0"/>
          <w:sz w:val="20"/>
        </w:rPr>
        <w:t>•  Transfer status polling and webhook receipt for settlement confirmation</w:t>
      </w:r>
    </w:p>
    <w:p>
      <w:pPr>
        <w:pStyle w:val="ListBullet"/>
      </w:pPr>
    </w:p>
    <w:p>
      <w:pPr>
        <w:spacing w:after="80"/>
        <w:ind w:left="360"/>
      </w:pPr>
      <w:r>
        <w:rPr>
          <w:i w:val="0"/>
          <w:sz w:val="20"/>
        </w:rPr>
        <w:t>•  Multi-currency accounts (USD, GBP, EUR) for beneficiary payouts</w:t>
      </w:r>
    </w:p>
    <w:p>
      <w:pPr>
        <w:spacing w:before="40" w:after="80"/>
        <w:ind w:left="360"/>
      </w:pPr>
      <w:r>
        <w:rPr>
          <w:i/>
          <w:color w:val="D47E00"/>
          <w:sz w:val="18"/>
        </w:rPr>
        <w:t>NOTE: For NIMASA and Port Authority (Nigerian government entities), NGN payouts via Paystack/Flutterwave to Nigerian bank accounts are the primary mechanism. USD Wise payouts are primarily for Blue Wave and Liquid Payments international disbursements.</w:t>
      </w:r>
    </w:p>
    <w:p>
      <w:pPr>
        <w:pBdr>
          <w:bottom w:val="single" w:sz="6" w:space="1" w:color="008B8B"/>
        </w:pBdr>
        <w:spacing w:before="400" w:after="120"/>
      </w:pPr>
      <w:r>
        <w:rPr>
          <w:b/>
          <w:color w:val="0D1B3E"/>
          <w:sz w:val="32"/>
        </w:rPr>
        <w:t>6. Non-Functional Requirements</w:t>
      </w:r>
    </w:p>
    <w:p>
      <w:pPr>
        <w:spacing w:before="240" w:after="80"/>
      </w:pPr>
      <w:r>
        <w:rPr>
          <w:b/>
          <w:color w:val="008B8B"/>
          <w:sz w:val="26"/>
        </w:rPr>
        <w:t>6.1  Performance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2E4A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3135"/>
            <w:shd w:val="clear" w:color="auto" w:fill="1A2E4A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Requirement</w:t>
            </w:r>
          </w:p>
        </w:tc>
        <w:tc>
          <w:tcPr>
            <w:tcW w:type="dxa" w:w="3135"/>
            <w:shd w:val="clear" w:color="auto" w:fill="1A2E4A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Priority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NFR-PERF-01</w:t>
            </w:r>
          </w:p>
        </w:tc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API p95 response time ≤ 500ms for all endpoints excluding external API calls.</w:t>
            </w:r>
          </w:p>
        </w:tc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MUST</w:t>
            </w:r>
          </w:p>
        </w:tc>
      </w:tr>
      <w:tr>
        <w:tc>
          <w:tcPr>
            <w:tcW w:type="dxa" w:w="313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NFR-PERF-02</w:t>
            </w:r>
          </w:p>
        </w:tc>
        <w:tc>
          <w:tcPr>
            <w:tcW w:type="dxa" w:w="313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Payment webhook processing (BullMQ job) completed within 5 seconds of receipt.</w:t>
            </w:r>
          </w:p>
        </w:tc>
        <w:tc>
          <w:tcPr>
            <w:tcW w:type="dxa" w:w="313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MUST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NFR-PERF-03</w:t>
            </w:r>
          </w:p>
        </w:tc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External API lookup (Payment Ref ID resolution) timeout: 10 seconds. Circuit breaker opens after 3 consecutive failures.</w:t>
            </w:r>
          </w:p>
        </w:tc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MUST</w:t>
            </w:r>
          </w:p>
        </w:tc>
      </w:tr>
      <w:tr>
        <w:tc>
          <w:tcPr>
            <w:tcW w:type="dxa" w:w="313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NFR-PERF-04</w:t>
            </w:r>
          </w:p>
        </w:tc>
        <w:tc>
          <w:tcPr>
            <w:tcW w:type="dxa" w:w="313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Dashboard reports for up to 12 months of data must render within 3 seconds.</w:t>
            </w:r>
          </w:p>
        </w:tc>
        <w:tc>
          <w:tcPr>
            <w:tcW w:type="dxa" w:w="313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SHOULD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NFR-PERF-05</w:t>
            </w:r>
          </w:p>
        </w:tc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System must sustain 200 concurrent payment sessions without degradation.</w:t>
            </w:r>
          </w:p>
        </w:tc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SHOULD</w:t>
            </w:r>
          </w:p>
        </w:tc>
      </w:tr>
    </w:tbl>
    <w:p/>
    <w:p>
      <w:pPr>
        <w:spacing w:before="240" w:after="80"/>
      </w:pPr>
      <w:r>
        <w:rPr>
          <w:b/>
          <w:color w:val="008B8B"/>
          <w:sz w:val="26"/>
        </w:rPr>
        <w:t>6.2  Security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2E4A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3135"/>
            <w:shd w:val="clear" w:color="auto" w:fill="1A2E4A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Requirement</w:t>
            </w:r>
          </w:p>
        </w:tc>
        <w:tc>
          <w:tcPr>
            <w:tcW w:type="dxa" w:w="3135"/>
            <w:shd w:val="clear" w:color="auto" w:fill="1A2E4A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Priority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NFR-SEC-01</w:t>
            </w:r>
          </w:p>
        </w:tc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All data in transit encrypted via TLS 1.3 minimum. TLS 1.1 and 1.2 disabled.</w:t>
            </w:r>
          </w:p>
        </w:tc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MUST</w:t>
            </w:r>
          </w:p>
        </w:tc>
      </w:tr>
      <w:tr>
        <w:tc>
          <w:tcPr>
            <w:tcW w:type="dxa" w:w="313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NFR-SEC-02</w:t>
            </w:r>
          </w:p>
        </w:tc>
        <w:tc>
          <w:tcPr>
            <w:tcW w:type="dxa" w:w="313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All PII and payment data at rest encrypted using AES-256.</w:t>
            </w:r>
          </w:p>
        </w:tc>
        <w:tc>
          <w:tcPr>
            <w:tcW w:type="dxa" w:w="313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MUST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NFR-SEC-03</w:t>
            </w:r>
          </w:p>
        </w:tc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JWT RS256 asymmetric signing. Private key stored in environment secrets — never in source code or DB.</w:t>
            </w:r>
          </w:p>
        </w:tc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MUST</w:t>
            </w:r>
          </w:p>
        </w:tc>
      </w:tr>
      <w:tr>
        <w:tc>
          <w:tcPr>
            <w:tcW w:type="dxa" w:w="313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NFR-SEC-04</w:t>
            </w:r>
          </w:p>
        </w:tc>
        <w:tc>
          <w:tcPr>
            <w:tcW w:type="dxa" w:w="313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TOTP 2FA mandatory for ADMIN role. FINANCE and OPERATOR roles may optionally enable 2FA.</w:t>
            </w:r>
          </w:p>
        </w:tc>
        <w:tc>
          <w:tcPr>
            <w:tcW w:type="dxa" w:w="313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MUST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NFR-SEC-05</w:t>
            </w:r>
          </w:p>
        </w:tc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No card data stored on platform servers. PCI-DSS SAQ-A scope (gateway-hosted card capture).</w:t>
            </w:r>
          </w:p>
        </w:tc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MUST</w:t>
            </w:r>
          </w:p>
        </w:tc>
      </w:tr>
      <w:tr>
        <w:tc>
          <w:tcPr>
            <w:tcW w:type="dxa" w:w="313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NFR-SEC-06</w:t>
            </w:r>
          </w:p>
        </w:tc>
        <w:tc>
          <w:tcPr>
            <w:tcW w:type="dxa" w:w="313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Webhook HMAC signature verification for all incoming gateway webhooks.</w:t>
            </w:r>
          </w:p>
        </w:tc>
        <w:tc>
          <w:tcPr>
            <w:tcW w:type="dxa" w:w="313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MUST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NFR-SEC-07</w:t>
            </w:r>
          </w:p>
        </w:tc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Rate limiting: 100 req/min per authenticated user; 20 req/min for unauthenticated endpoints.</w:t>
            </w:r>
          </w:p>
        </w:tc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MUST</w:t>
            </w:r>
          </w:p>
        </w:tc>
      </w:tr>
      <w:tr>
        <w:tc>
          <w:tcPr>
            <w:tcW w:type="dxa" w:w="313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NFR-SEC-08</w:t>
            </w:r>
          </w:p>
        </w:tc>
        <w:tc>
          <w:tcPr>
            <w:tcW w:type="dxa" w:w="313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OWASP Top 10 mitigations applied: input validation, parameterised queries, XSS prevention, CSRF tokens, secure headers (CSP, HSTS).</w:t>
            </w:r>
          </w:p>
        </w:tc>
        <w:tc>
          <w:tcPr>
            <w:tcW w:type="dxa" w:w="313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MUST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NFR-SEC-09</w:t>
            </w:r>
          </w:p>
        </w:tc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Dependency vulnerability scanning in CI (e.g., npm audit, Snyk) on every pull request.</w:t>
            </w:r>
          </w:p>
        </w:tc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MUST</w:t>
            </w:r>
          </w:p>
        </w:tc>
      </w:tr>
      <w:tr>
        <w:tc>
          <w:tcPr>
            <w:tcW w:type="dxa" w:w="313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NFR-SEC-10</w:t>
            </w:r>
          </w:p>
        </w:tc>
        <w:tc>
          <w:tcPr>
            <w:tcW w:type="dxa" w:w="313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Penetration test by a third party required before production launch (Phase 4 gate).</w:t>
            </w:r>
          </w:p>
        </w:tc>
        <w:tc>
          <w:tcPr>
            <w:tcW w:type="dxa" w:w="313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MUST</w:t>
            </w:r>
          </w:p>
        </w:tc>
      </w:tr>
    </w:tbl>
    <w:p/>
    <w:p>
      <w:pPr>
        <w:spacing w:before="240" w:after="80"/>
      </w:pPr>
      <w:r>
        <w:rPr>
          <w:b/>
          <w:color w:val="008B8B"/>
          <w:sz w:val="26"/>
        </w:rPr>
        <w:t>6.3  Availability &amp; Reliability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2E4A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3135"/>
            <w:shd w:val="clear" w:color="auto" w:fill="1A2E4A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Requirement</w:t>
            </w:r>
          </w:p>
        </w:tc>
        <w:tc>
          <w:tcPr>
            <w:tcW w:type="dxa" w:w="3135"/>
            <w:shd w:val="clear" w:color="auto" w:fill="1A2E4A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Priority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NFR-AV-01</w:t>
            </w:r>
          </w:p>
        </w:tc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Target uptime: 99.9% per calendar month (≤ 43.8 minutes downtime/month).</w:t>
            </w:r>
          </w:p>
        </w:tc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MUST</w:t>
            </w:r>
          </w:p>
        </w:tc>
      </w:tr>
      <w:tr>
        <w:tc>
          <w:tcPr>
            <w:tcW w:type="dxa" w:w="313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NFR-AV-02</w:t>
            </w:r>
          </w:p>
        </w:tc>
        <w:tc>
          <w:tcPr>
            <w:tcW w:type="dxa" w:w="313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Planned maintenance windows must be communicated 48 hours in advance and scheduled outside Nigerian business hours (06:00–22:00 WAT).</w:t>
            </w:r>
          </w:p>
        </w:tc>
        <w:tc>
          <w:tcPr>
            <w:tcW w:type="dxa" w:w="313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SHOULD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NFR-AV-03</w:t>
            </w:r>
          </w:p>
        </w:tc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BullMQ jobs have a minimum of 3 retry attempts with exponential backoff before marking failed.</w:t>
            </w:r>
          </w:p>
        </w:tc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MUST</w:t>
            </w:r>
          </w:p>
        </w:tc>
      </w:tr>
      <w:tr>
        <w:tc>
          <w:tcPr>
            <w:tcW w:type="dxa" w:w="313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NFR-AV-04</w:t>
            </w:r>
          </w:p>
        </w:tc>
        <w:tc>
          <w:tcPr>
            <w:tcW w:type="dxa" w:w="313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Database: automated daily backups with 30-day retention. Point-in-time recovery capability required.</w:t>
            </w:r>
          </w:p>
        </w:tc>
        <w:tc>
          <w:tcPr>
            <w:tcW w:type="dxa" w:w="313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MUST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NFR-AV-05</w:t>
            </w:r>
          </w:p>
        </w:tc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Circuit breaker pattern on all external API integrations (emission authority, payment gateways, payout providers, FX providers).</w:t>
            </w:r>
          </w:p>
        </w:tc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MUST</w:t>
            </w:r>
          </w:p>
        </w:tc>
      </w:tr>
    </w:tbl>
    <w:p/>
    <w:p>
      <w:pPr>
        <w:spacing w:before="240" w:after="80"/>
      </w:pPr>
      <w:r>
        <w:rPr>
          <w:b/>
          <w:color w:val="008B8B"/>
          <w:sz w:val="26"/>
        </w:rPr>
        <w:t>6.4  Scalability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2E4A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3135"/>
            <w:shd w:val="clear" w:color="auto" w:fill="1A2E4A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Requirement</w:t>
            </w:r>
          </w:p>
        </w:tc>
        <w:tc>
          <w:tcPr>
            <w:tcW w:type="dxa" w:w="3135"/>
            <w:shd w:val="clear" w:color="auto" w:fill="1A2E4A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Priority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NFR-SC-01</w:t>
            </w:r>
          </w:p>
        </w:tc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The API layer must be horizontally scalable (stateless; session state in Redis, not in-process memory).</w:t>
            </w:r>
          </w:p>
        </w:tc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MUST</w:t>
            </w:r>
          </w:p>
        </w:tc>
      </w:tr>
      <w:tr>
        <w:tc>
          <w:tcPr>
            <w:tcW w:type="dxa" w:w="313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NFR-SC-02</w:t>
            </w:r>
          </w:p>
        </w:tc>
        <w:tc>
          <w:tcPr>
            <w:tcW w:type="dxa" w:w="313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BullMQ workers must be independently scalable from the API layer.</w:t>
            </w:r>
          </w:p>
        </w:tc>
        <w:tc>
          <w:tcPr>
            <w:tcW w:type="dxa" w:w="313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MUST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NFR-SC-03</w:t>
            </w:r>
          </w:p>
        </w:tc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Database connection pooling (PgBouncer or Prisma connection pool) required in production.</w:t>
            </w:r>
          </w:p>
        </w:tc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MUST</w:t>
            </w:r>
          </w:p>
        </w:tc>
      </w:tr>
      <w:tr>
        <w:tc>
          <w:tcPr>
            <w:tcW w:type="dxa" w:w="313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NFR-SC-04</w:t>
            </w:r>
          </w:p>
        </w:tc>
        <w:tc>
          <w:tcPr>
            <w:tcW w:type="dxa" w:w="313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Architecture must support processing ≥ 1,000 payment webhook events per hour without queue backlog.</w:t>
            </w:r>
          </w:p>
        </w:tc>
        <w:tc>
          <w:tcPr>
            <w:tcW w:type="dxa" w:w="313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SHOULD</w:t>
            </w:r>
          </w:p>
        </w:tc>
      </w:tr>
    </w:tbl>
    <w:p/>
    <w:p>
      <w:pPr>
        <w:spacing w:before="240" w:after="80"/>
      </w:pPr>
      <w:r>
        <w:rPr>
          <w:b/>
          <w:color w:val="008B8B"/>
          <w:sz w:val="26"/>
        </w:rPr>
        <w:t>6.5  Compliance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2E4A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3135"/>
            <w:shd w:val="clear" w:color="auto" w:fill="1A2E4A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Requirement</w:t>
            </w:r>
          </w:p>
        </w:tc>
        <w:tc>
          <w:tcPr>
            <w:tcW w:type="dxa" w:w="3135"/>
            <w:shd w:val="clear" w:color="auto" w:fill="1A2E4A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Priority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NFR-CP-01</w:t>
            </w:r>
          </w:p>
        </w:tc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NDPR 2019 compliance: lawful basis for processing, data subject rights (access, deletion, portability), DPO designation, breach notification within 72 hours.</w:t>
            </w:r>
          </w:p>
        </w:tc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MUST</w:t>
            </w:r>
          </w:p>
        </w:tc>
      </w:tr>
      <w:tr>
        <w:tc>
          <w:tcPr>
            <w:tcW w:type="dxa" w:w="313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NFR-CP-02</w:t>
            </w:r>
          </w:p>
        </w:tc>
        <w:tc>
          <w:tcPr>
            <w:tcW w:type="dxa" w:w="313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GDPR compliance for EU-based vessel operators.</w:t>
            </w:r>
          </w:p>
        </w:tc>
        <w:tc>
          <w:tcPr>
            <w:tcW w:type="dxa" w:w="313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MUST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NFR-CP-03</w:t>
            </w:r>
          </w:p>
        </w:tc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PCI-DSS SAQ-A: no card data on platform servers; quarterly ASV scans on in-scope components.</w:t>
            </w:r>
          </w:p>
        </w:tc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MUST</w:t>
            </w:r>
          </w:p>
        </w:tc>
      </w:tr>
      <w:tr>
        <w:tc>
          <w:tcPr>
            <w:tcW w:type="dxa" w:w="313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NFR-CP-04</w:t>
            </w:r>
          </w:p>
        </w:tc>
        <w:tc>
          <w:tcPr>
            <w:tcW w:type="dxa" w:w="313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All financial records retained for a minimum of 7 years (FIRS requirement).</w:t>
            </w:r>
          </w:p>
        </w:tc>
        <w:tc>
          <w:tcPr>
            <w:tcW w:type="dxa" w:w="313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MUST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NFR-CP-05</w:t>
            </w:r>
          </w:p>
        </w:tc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MARPOL Annex VI emission calculation methodology documented and auditable.</w:t>
            </w:r>
          </w:p>
        </w:tc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MUST</w:t>
            </w:r>
          </w:p>
        </w:tc>
      </w:tr>
      <w:tr>
        <w:tc>
          <w:tcPr>
            <w:tcW w:type="dxa" w:w="313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NFR-CP-06</w:t>
            </w:r>
          </w:p>
        </w:tc>
        <w:tc>
          <w:tcPr>
            <w:tcW w:type="dxa" w:w="313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DPIA completed before any PII data is collected in production (Phase 4 gate).</w:t>
            </w:r>
          </w:p>
        </w:tc>
        <w:tc>
          <w:tcPr>
            <w:tcW w:type="dxa" w:w="313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MUST</w:t>
            </w:r>
          </w:p>
        </w:tc>
      </w:tr>
    </w:tbl>
    <w:p/>
    <w:p>
      <w:pPr>
        <w:pBdr>
          <w:bottom w:val="single" w:sz="6" w:space="1" w:color="008B8B"/>
        </w:pBdr>
        <w:spacing w:before="400" w:after="120"/>
      </w:pPr>
      <w:r>
        <w:rPr>
          <w:b/>
          <w:color w:val="0D1B3E"/>
          <w:sz w:val="32"/>
        </w:rPr>
        <w:t>7. Data Requirements</w:t>
      </w:r>
    </w:p>
    <w:p>
      <w:pPr>
        <w:spacing w:before="240" w:after="80"/>
      </w:pPr>
      <w:r>
        <w:rPr>
          <w:b/>
          <w:color w:val="008B8B"/>
          <w:sz w:val="26"/>
        </w:rPr>
        <w:t>7.1  Data Principles</w:t>
      </w:r>
    </w:p>
    <w:p>
      <w:pPr>
        <w:pStyle w:val="ListBullet"/>
      </w:pPr>
    </w:p>
    <w:p>
      <w:pPr>
        <w:spacing w:after="80"/>
        <w:ind w:left="360"/>
      </w:pPr>
      <w:r>
        <w:rPr>
          <w:i w:val="0"/>
          <w:sz w:val="20"/>
        </w:rPr>
        <w:t>•  All monetary amounts stored as integer minor units (cents for USD, kobo for NGN) with a Currency enum field. No floating-point money.</w:t>
      </w:r>
    </w:p>
    <w:p>
      <w:pPr>
        <w:pStyle w:val="ListBullet"/>
      </w:pPr>
    </w:p>
    <w:p>
      <w:pPr>
        <w:spacing w:after="80"/>
        <w:ind w:left="360"/>
      </w:pPr>
      <w:r>
        <w:rPr>
          <w:i w:val="0"/>
          <w:sz w:val="20"/>
        </w:rPr>
        <w:t>•  No cross-context foreign key constraints in the database. Cross-context references use plain string IDs.</w:t>
      </w:r>
    </w:p>
    <w:p>
      <w:pPr>
        <w:pStyle w:val="ListBullet"/>
      </w:pPr>
    </w:p>
    <w:p>
      <w:pPr>
        <w:spacing w:after="80"/>
        <w:ind w:left="360"/>
      </w:pPr>
      <w:r>
        <w:rPr>
          <w:i w:val="0"/>
          <w:sz w:val="20"/>
        </w:rPr>
        <w:t>•  Table names are prefixed by context: identity_, emissions_, payments_, settlement_, reporting_, notifications_.</w:t>
      </w:r>
    </w:p>
    <w:p>
      <w:pPr>
        <w:pStyle w:val="ListBullet"/>
      </w:pPr>
    </w:p>
    <w:p>
      <w:pPr>
        <w:spacing w:after="80"/>
        <w:ind w:left="360"/>
      </w:pPr>
      <w:r>
        <w:rPr>
          <w:i w:val="0"/>
          <w:sz w:val="20"/>
        </w:rPr>
        <w:t>•  Ledger entries (settlement_ledger_entries) have no updatedAt field. Append-only.</w:t>
      </w:r>
    </w:p>
    <w:p>
      <w:pPr>
        <w:pStyle w:val="ListBullet"/>
      </w:pPr>
    </w:p>
    <w:p>
      <w:pPr>
        <w:spacing w:after="80"/>
        <w:ind w:left="360"/>
      </w:pPr>
      <w:r>
        <w:rPr>
          <w:i w:val="0"/>
          <w:sz w:val="20"/>
        </w:rPr>
        <w:t>•  SplitRule basis points must sum to 10,000; enforced at application layer and documented as a DB check constraint.</w:t>
      </w:r>
    </w:p>
    <w:p>
      <w:pPr>
        <w:pStyle w:val="ListBullet"/>
      </w:pPr>
    </w:p>
    <w:p>
      <w:pPr>
        <w:spacing w:after="80"/>
        <w:ind w:left="360"/>
      </w:pPr>
      <w:r>
        <w:rPr>
          <w:i w:val="0"/>
          <w:sz w:val="20"/>
        </w:rPr>
        <w:t>•  All timestamps stored in UTC. Timezone conversion is a presentation-layer concern.</w:t>
      </w:r>
    </w:p>
    <w:p>
      <w:pPr>
        <w:pStyle w:val="ListBullet"/>
      </w:pPr>
    </w:p>
    <w:p>
      <w:pPr>
        <w:spacing w:after="80"/>
        <w:ind w:left="360"/>
      </w:pPr>
      <w:r>
        <w:rPr>
          <w:i w:val="0"/>
          <w:sz w:val="20"/>
        </w:rPr>
        <w:t>•  PII fields (email, phone, full name, address) encrypted at rest using AES-256.</w:t>
      </w:r>
    </w:p>
    <w:p>
      <w:pPr>
        <w:spacing w:before="240" w:after="80"/>
      </w:pPr>
      <w:r>
        <w:rPr>
          <w:b/>
          <w:color w:val="008B8B"/>
          <w:sz w:val="26"/>
        </w:rPr>
        <w:t>7.2  Data Retention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2E4A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Data Category</w:t>
            </w:r>
          </w:p>
        </w:tc>
        <w:tc>
          <w:tcPr>
            <w:tcW w:type="dxa" w:w="3135"/>
            <w:shd w:val="clear" w:color="auto" w:fill="1A2E4A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Retention Period</w:t>
            </w:r>
          </w:p>
        </w:tc>
        <w:tc>
          <w:tcPr>
            <w:tcW w:type="dxa" w:w="3135"/>
            <w:shd w:val="clear" w:color="auto" w:fill="1A2E4A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Rationale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Payment records</w:t>
            </w:r>
          </w:p>
        </w:tc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7 years</w:t>
            </w:r>
          </w:p>
        </w:tc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FIRS / CBN regulatory requirement</w:t>
            </w:r>
          </w:p>
        </w:tc>
      </w:tr>
      <w:tr>
        <w:tc>
          <w:tcPr>
            <w:tcW w:type="dxa" w:w="313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Settlement &amp; ledger</w:t>
            </w:r>
          </w:p>
        </w:tc>
        <w:tc>
          <w:tcPr>
            <w:tcW w:type="dxa" w:w="313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7 years</w:t>
            </w:r>
          </w:p>
        </w:tc>
        <w:tc>
          <w:tcPr>
            <w:tcW w:type="dxa" w:w="313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Financial audit requirement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Emission assessment data</w:t>
            </w:r>
          </w:p>
        </w:tc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7 years</w:t>
            </w:r>
          </w:p>
        </w:tc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NIMASA / MARPOL record-keeping</w:t>
            </w:r>
          </w:p>
        </w:tc>
      </w:tr>
      <w:tr>
        <w:tc>
          <w:tcPr>
            <w:tcW w:type="dxa" w:w="313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Audit logs</w:t>
            </w:r>
          </w:p>
        </w:tc>
        <w:tc>
          <w:tcPr>
            <w:tcW w:type="dxa" w:w="313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5 years</w:t>
            </w:r>
          </w:p>
        </w:tc>
        <w:tc>
          <w:tcPr>
            <w:tcW w:type="dxa" w:w="313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NDPR / GDPR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Domain events (outbox)</w:t>
            </w:r>
          </w:p>
        </w:tc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2 years active + archive</w:t>
            </w:r>
          </w:p>
        </w:tc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Operational + compliance</w:t>
            </w:r>
          </w:p>
        </w:tc>
      </w:tr>
      <w:tr>
        <w:tc>
          <w:tcPr>
            <w:tcW w:type="dxa" w:w="313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Notification logs</w:t>
            </w:r>
          </w:p>
        </w:tc>
        <w:tc>
          <w:tcPr>
            <w:tcW w:type="dxa" w:w="313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1 year</w:t>
            </w:r>
          </w:p>
        </w:tc>
        <w:tc>
          <w:tcPr>
            <w:tcW w:type="dxa" w:w="313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Operational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Session tokens (Redis)</w:t>
            </w:r>
          </w:p>
        </w:tc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7 days</w:t>
            </w:r>
          </w:p>
        </w:tc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Security</w:t>
            </w:r>
          </w:p>
        </w:tc>
      </w:tr>
      <w:tr>
        <w:tc>
          <w:tcPr>
            <w:tcW w:type="dxa" w:w="313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Idempotency keys (Redis)</w:t>
            </w:r>
          </w:p>
        </w:tc>
        <w:tc>
          <w:tcPr>
            <w:tcW w:type="dxa" w:w="313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24 hours</w:t>
            </w:r>
          </w:p>
        </w:tc>
        <w:tc>
          <w:tcPr>
            <w:tcW w:type="dxa" w:w="313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Operational</w:t>
            </w:r>
          </w:p>
        </w:tc>
      </w:tr>
    </w:tbl>
    <w:p/>
    <w:p>
      <w:pPr>
        <w:spacing w:before="240" w:after="80"/>
      </w:pPr>
      <w:r>
        <w:rPr>
          <w:b/>
          <w:color w:val="008B8B"/>
          <w:sz w:val="26"/>
        </w:rPr>
        <w:t>7.3  Data Sovereignty</w:t>
      </w:r>
    </w:p>
    <w:p>
      <w:pPr>
        <w:spacing w:after="80"/>
      </w:pPr>
      <w:r>
        <w:rPr>
          <w:i w:val="0"/>
          <w:sz w:val="20"/>
        </w:rPr>
        <w:t>All primary data must be stored in servers physically located in Nigeria or, at minimum, within Africa, to comply with NDPR data localisation requirements. The Railway-managed PostgreSQL instance must be provisioned in a Nigerian or West African region. If no such region is available on Railway, an alternative provider (e.g., AWS Lagos ap-southeast-1 equivalent, or Render) must be evaluated.</w:t>
      </w:r>
    </w:p>
    <w:p>
      <w:pPr>
        <w:pBdr>
          <w:bottom w:val="single" w:sz="6" w:space="1" w:color="008B8B"/>
        </w:pBdr>
        <w:spacing w:before="400" w:after="120"/>
      </w:pPr>
      <w:r>
        <w:rPr>
          <w:b/>
          <w:color w:val="0D1B3E"/>
          <w:sz w:val="32"/>
        </w:rPr>
        <w:t>8. Interface Requirements</w:t>
      </w:r>
    </w:p>
    <w:p>
      <w:pPr>
        <w:spacing w:before="240" w:after="80"/>
      </w:pPr>
      <w:r>
        <w:rPr>
          <w:b/>
          <w:color w:val="008B8B"/>
          <w:sz w:val="26"/>
        </w:rPr>
        <w:t>8.1  User Interface</w:t>
      </w:r>
    </w:p>
    <w:p>
      <w:pPr>
        <w:pStyle w:val="ListBullet"/>
      </w:pPr>
    </w:p>
    <w:p>
      <w:pPr>
        <w:spacing w:after="80"/>
        <w:ind w:left="360"/>
      </w:pPr>
      <w:r>
        <w:rPr>
          <w:i w:val="0"/>
          <w:sz w:val="20"/>
        </w:rPr>
        <w:t>•  The web application is responsive. All payment flows must be fully functional on mobile browsers (iOS Safari, Android Chrome).</w:t>
      </w:r>
    </w:p>
    <w:p>
      <w:pPr>
        <w:pStyle w:val="ListBullet"/>
      </w:pPr>
    </w:p>
    <w:p>
      <w:pPr>
        <w:spacing w:after="80"/>
        <w:ind w:left="360"/>
      </w:pPr>
      <w:r>
        <w:rPr>
          <w:i w:val="0"/>
          <w:sz w:val="20"/>
        </w:rPr>
        <w:t>•  UI is built with Next.js 14 (App Router) + shadcn/ui + Tailwind CSS.</w:t>
      </w:r>
    </w:p>
    <w:p>
      <w:pPr>
        <w:pStyle w:val="ListBullet"/>
      </w:pPr>
    </w:p>
    <w:p>
      <w:pPr>
        <w:spacing w:after="80"/>
        <w:ind w:left="360"/>
      </w:pPr>
      <w:r>
        <w:rPr>
          <w:i w:val="0"/>
          <w:sz w:val="20"/>
        </w:rPr>
        <w:t>•  All monetary amounts displayed with currency symbol, formatted to 2 decimal places.</w:t>
      </w:r>
    </w:p>
    <w:p>
      <w:pPr>
        <w:pStyle w:val="ListBullet"/>
      </w:pPr>
    </w:p>
    <w:p>
      <w:pPr>
        <w:spacing w:after="80"/>
        <w:ind w:left="360"/>
      </w:pPr>
      <w:r>
        <w:rPr>
          <w:i w:val="0"/>
          <w:sz w:val="20"/>
        </w:rPr>
        <w:t>•  Multi-currency payment selection presents the USD amount and the NGN equivalent (with "rate locked at" disclosure) side-by-side.</w:t>
      </w:r>
    </w:p>
    <w:p>
      <w:pPr>
        <w:pStyle w:val="ListBullet"/>
      </w:pPr>
    </w:p>
    <w:p>
      <w:pPr>
        <w:spacing w:after="80"/>
        <w:ind w:left="360"/>
      </w:pPr>
      <w:r>
        <w:rPr>
          <w:i w:val="0"/>
          <w:sz w:val="20"/>
        </w:rPr>
        <w:t>•  All forms include client-side and server-side validation. Error messages are human-readable and actionable.</w:t>
      </w:r>
    </w:p>
    <w:p>
      <w:pPr>
        <w:pStyle w:val="ListBullet"/>
      </w:pPr>
    </w:p>
    <w:p>
      <w:pPr>
        <w:spacing w:after="80"/>
        <w:ind w:left="360"/>
      </w:pPr>
      <w:r>
        <w:rPr>
          <w:i w:val="0"/>
          <w:sz w:val="20"/>
        </w:rPr>
        <w:t>•  Loading states are shown for all async operations (API lookups, payment processing).</w:t>
      </w:r>
    </w:p>
    <w:p>
      <w:pPr>
        <w:spacing w:before="240" w:after="80"/>
      </w:pPr>
      <w:r>
        <w:rPr>
          <w:b/>
          <w:color w:val="008B8B"/>
          <w:sz w:val="26"/>
        </w:rPr>
        <w:t>8.2  External API Interfaces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A2E4A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6"/>
              </w:rPr>
              <w:t>System</w:t>
            </w:r>
          </w:p>
        </w:tc>
        <w:tc>
          <w:tcPr>
            <w:tcW w:type="dxa" w:w="2351"/>
            <w:shd w:val="clear" w:color="auto" w:fill="1A2E4A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6"/>
              </w:rPr>
              <w:t>Protocol</w:t>
            </w:r>
          </w:p>
        </w:tc>
        <w:tc>
          <w:tcPr>
            <w:tcW w:type="dxa" w:w="2351"/>
            <w:shd w:val="clear" w:color="auto" w:fill="1A2E4A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6"/>
              </w:rPr>
              <w:t>Operations</w:t>
            </w:r>
          </w:p>
        </w:tc>
        <w:tc>
          <w:tcPr>
            <w:tcW w:type="dxa" w:w="2351"/>
            <w:shd w:val="clear" w:color="auto" w:fill="1A2E4A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6"/>
              </w:rPr>
              <w:t>Auth / Security</w:t>
            </w:r>
          </w:p>
        </w:tc>
      </w:tr>
      <w:tr>
        <w:tc>
          <w:tcPr>
            <w:tcW w:type="dxa" w:w="2351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Emission Authority API</w:t>
            </w:r>
          </w:p>
        </w:tc>
        <w:tc>
          <w:tcPr>
            <w:tcW w:type="dxa" w:w="2351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REST (assumed) or SOAP</w:t>
            </w:r>
          </w:p>
        </w:tc>
        <w:tc>
          <w:tcPr>
            <w:tcW w:type="dxa" w:w="2351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GET assessment data by Payment Ref ID; POST payment confirmation</w:t>
            </w:r>
          </w:p>
        </w:tc>
        <w:tc>
          <w:tcPr>
            <w:tcW w:type="dxa" w:w="2351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TLS 1.3; API key or mutual TLS</w:t>
            </w:r>
          </w:p>
        </w:tc>
      </w:tr>
      <w:tr>
        <w:tc>
          <w:tcPr>
            <w:tcW w:type="dxa" w:w="2351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Paystack</w:t>
            </w:r>
          </w:p>
        </w:tc>
        <w:tc>
          <w:tcPr>
            <w:tcW w:type="dxa" w:w="2351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REST</w:t>
            </w:r>
          </w:p>
        </w:tc>
        <w:tc>
          <w:tcPr>
            <w:tcW w:type="dxa" w:w="2351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Payment initiation, webhook events, transfer (NGN payout)</w:t>
            </w:r>
          </w:p>
        </w:tc>
        <w:tc>
          <w:tcPr>
            <w:tcW w:type="dxa" w:w="2351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HTTPS; HMAC-SHA512 webhook verification</w:t>
            </w:r>
          </w:p>
        </w:tc>
      </w:tr>
      <w:tr>
        <w:tc>
          <w:tcPr>
            <w:tcW w:type="dxa" w:w="2351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Flutterwave</w:t>
            </w:r>
          </w:p>
        </w:tc>
        <w:tc>
          <w:tcPr>
            <w:tcW w:type="dxa" w:w="2351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REST</w:t>
            </w:r>
          </w:p>
        </w:tc>
        <w:tc>
          <w:tcPr>
            <w:tcW w:type="dxa" w:w="2351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Payment initiation (USD + NGN), webhook events, transfer</w:t>
            </w:r>
          </w:p>
        </w:tc>
        <w:tc>
          <w:tcPr>
            <w:tcW w:type="dxa" w:w="2351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HTTPS; SHA-256 webhook hash verification</w:t>
            </w:r>
          </w:p>
        </w:tc>
      </w:tr>
      <w:tr>
        <w:tc>
          <w:tcPr>
            <w:tcW w:type="dxa" w:w="2351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Wise Business API</w:t>
            </w:r>
          </w:p>
        </w:tc>
        <w:tc>
          <w:tcPr>
            <w:tcW w:type="dxa" w:w="2351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REST</w:t>
            </w:r>
          </w:p>
        </w:tc>
        <w:tc>
          <w:tcPr>
            <w:tcW w:type="dxa" w:w="2351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Quote, transfer creation, recipient management, webhook</w:t>
            </w:r>
          </w:p>
        </w:tc>
        <w:tc>
          <w:tcPr>
            <w:tcW w:type="dxa" w:w="2351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OAuth 2.0; HTTPS</w:t>
            </w:r>
          </w:p>
        </w:tc>
      </w:tr>
      <w:tr>
        <w:tc>
          <w:tcPr>
            <w:tcW w:type="dxa" w:w="2351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FX Rate Provider</w:t>
            </w:r>
          </w:p>
        </w:tc>
        <w:tc>
          <w:tcPr>
            <w:tcW w:type="dxa" w:w="2351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REST</w:t>
            </w:r>
          </w:p>
        </w:tc>
        <w:tc>
          <w:tcPr>
            <w:tcW w:type="dxa" w:w="2351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USD/NGN spot rate fetch</w:t>
            </w:r>
          </w:p>
        </w:tc>
        <w:tc>
          <w:tcPr>
            <w:tcW w:type="dxa" w:w="2351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HTTPS; API key</w:t>
            </w:r>
          </w:p>
        </w:tc>
      </w:tr>
      <w:tr>
        <w:tc>
          <w:tcPr>
            <w:tcW w:type="dxa" w:w="2351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Email Provider</w:t>
            </w:r>
          </w:p>
        </w:tc>
        <w:tc>
          <w:tcPr>
            <w:tcW w:type="dxa" w:w="2351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REST (SendGrid/Mailgun)</w:t>
            </w:r>
          </w:p>
        </w:tc>
        <w:tc>
          <w:tcPr>
            <w:tcW w:type="dxa" w:w="2351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Transactional email delivery</w:t>
            </w:r>
          </w:p>
        </w:tc>
        <w:tc>
          <w:tcPr>
            <w:tcW w:type="dxa" w:w="2351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HTTPS; API key</w:t>
            </w:r>
          </w:p>
        </w:tc>
      </w:tr>
      <w:tr>
        <w:tc>
          <w:tcPr>
            <w:tcW w:type="dxa" w:w="2351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SMS Provider</w:t>
            </w:r>
          </w:p>
        </w:tc>
        <w:tc>
          <w:tcPr>
            <w:tcW w:type="dxa" w:w="2351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REST (Termii)</w:t>
            </w:r>
          </w:p>
        </w:tc>
        <w:tc>
          <w:tcPr>
            <w:tcW w:type="dxa" w:w="2351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SMS notification delivery (optional)</w:t>
            </w:r>
          </w:p>
        </w:tc>
        <w:tc>
          <w:tcPr>
            <w:tcW w:type="dxa" w:w="2351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HTTPS; API key</w:t>
            </w:r>
          </w:p>
        </w:tc>
      </w:tr>
    </w:tbl>
    <w:p/>
    <w:p>
      <w:pPr>
        <w:spacing w:before="240" w:after="80"/>
      </w:pPr>
      <w:r>
        <w:rPr>
          <w:b/>
          <w:color w:val="008B8B"/>
          <w:sz w:val="26"/>
        </w:rPr>
        <w:t>8.3  Internal API</w:t>
      </w:r>
    </w:p>
    <w:p>
      <w:pPr>
        <w:spacing w:after="80"/>
      </w:pPr>
      <w:r>
        <w:rPr>
          <w:i w:val="0"/>
          <w:sz w:val="20"/>
        </w:rPr>
        <w:t>The platform exposes a REST API documented in OpenAPI 3.x (YAML). Key API surface areas: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A2E4A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API Group</w:t>
            </w:r>
          </w:p>
        </w:tc>
        <w:tc>
          <w:tcPr>
            <w:tcW w:type="dxa" w:w="4703"/>
            <w:shd w:val="clear" w:color="auto" w:fill="1A2E4A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Key Endpoints</w:t>
            </w:r>
          </w:p>
        </w:tc>
      </w:tr>
      <w:tr>
        <w:tc>
          <w:tcPr>
            <w:tcW w:type="dxa" w:w="4703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Auth</w:t>
            </w:r>
          </w:p>
        </w:tc>
        <w:tc>
          <w:tcPr>
            <w:tcW w:type="dxa" w:w="4703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/auth/register, /auth/login, /auth/refresh, /auth/logout, /auth/2fa/*</w:t>
            </w:r>
          </w:p>
        </w:tc>
      </w:tr>
      <w:tr>
        <w:tc>
          <w:tcPr>
            <w:tcW w:type="dxa" w:w="4703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Identity</w:t>
            </w:r>
          </w:p>
        </w:tc>
        <w:tc>
          <w:tcPr>
            <w:tcW w:type="dxa" w:w="4703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/organisations, /organisations/{id}/vessels, /users, /users/{id}</w:t>
            </w:r>
          </w:p>
        </w:tc>
      </w:tr>
      <w:tr>
        <w:tc>
          <w:tcPr>
            <w:tcW w:type="dxa" w:w="4703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Assessment</w:t>
            </w:r>
          </w:p>
        </w:tc>
        <w:tc>
          <w:tcPr>
            <w:tcW w:type="dxa" w:w="4703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/assessments/lookup (POST with paymentRefId), /assessments/{id}</w:t>
            </w:r>
          </w:p>
        </w:tc>
      </w:tr>
      <w:tr>
        <w:tc>
          <w:tcPr>
            <w:tcW w:type="dxa" w:w="4703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Payments</w:t>
            </w:r>
          </w:p>
        </w:tc>
        <w:tc>
          <w:tcPr>
            <w:tcW w:type="dxa" w:w="4703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/payment-orders, /payment-orders/{id}, /payment-orders/{id}/initiate, /webhooks/{gateway}</w:t>
            </w:r>
          </w:p>
        </w:tc>
      </w:tr>
      <w:tr>
        <w:tc>
          <w:tcPr>
            <w:tcW w:type="dxa" w:w="4703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Settlement</w:t>
            </w:r>
          </w:p>
        </w:tc>
        <w:tc>
          <w:tcPr>
            <w:tcW w:type="dxa" w:w="4703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/wallets, /wallets/{id}/ledger, /settlement-batches, /payouts</w:t>
            </w:r>
          </w:p>
        </w:tc>
      </w:tr>
      <w:tr>
        <w:tc>
          <w:tcPr>
            <w:tcW w:type="dxa" w:w="4703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Reports</w:t>
            </w:r>
          </w:p>
        </w:tc>
        <w:tc>
          <w:tcPr>
            <w:tcW w:type="dxa" w:w="4703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/reports/revenue, /reports/settlement, /reports/vessels/{imoNumber}</w:t>
            </w:r>
          </w:p>
        </w:tc>
      </w:tr>
      <w:tr>
        <w:tc>
          <w:tcPr>
            <w:tcW w:type="dxa" w:w="4703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Admin</w:t>
            </w:r>
          </w:p>
        </w:tc>
        <w:tc>
          <w:tcPr>
            <w:tcW w:type="dxa" w:w="4703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/admin/organisations, /admin/fee-schedules, /admin/split-rules, /admin/gateways, /admin/templates</w:t>
            </w:r>
          </w:p>
        </w:tc>
      </w:tr>
    </w:tbl>
    <w:p/>
    <w:p>
      <w:pPr>
        <w:pBdr>
          <w:bottom w:val="single" w:sz="6" w:space="1" w:color="008B8B"/>
        </w:pBdr>
        <w:spacing w:before="400" w:after="120"/>
      </w:pPr>
      <w:r>
        <w:rPr>
          <w:b/>
          <w:color w:val="0D1B3E"/>
          <w:sz w:val="32"/>
        </w:rPr>
        <w:t>9. System Constraints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A2E4A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Constraint Type</w:t>
            </w:r>
          </w:p>
        </w:tc>
        <w:tc>
          <w:tcPr>
            <w:tcW w:type="dxa" w:w="4703"/>
            <w:shd w:val="clear" w:color="auto" w:fill="1A2E4A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4703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Technical</w:t>
            </w:r>
          </w:p>
        </w:tc>
        <w:tc>
          <w:tcPr>
            <w:tcW w:type="dxa" w:w="4703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TypeScript (strict) throughout — no plain JavaScript in any deliverable.</w:t>
            </w:r>
          </w:p>
        </w:tc>
      </w:tr>
      <w:tr>
        <w:tc>
          <w:tcPr>
            <w:tcW w:type="dxa" w:w="4703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Technical</w:t>
            </w:r>
          </w:p>
        </w:tc>
        <w:tc>
          <w:tcPr>
            <w:tcW w:type="dxa" w:w="4703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Monorepo structure: Turborepo. Apps: apps/web (Next.js), apps/api (Express). Shared packages: packages/ui, packages/types, packages/config.</w:t>
            </w:r>
          </w:p>
        </w:tc>
      </w:tr>
      <w:tr>
        <w:tc>
          <w:tcPr>
            <w:tcW w:type="dxa" w:w="4703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Technical</w:t>
            </w:r>
          </w:p>
        </w:tc>
        <w:tc>
          <w:tcPr>
            <w:tcW w:type="dxa" w:w="4703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ORM: Prisma 5.x only. No raw SQL except for complex reporting queries (documented exceptions).</w:t>
            </w:r>
          </w:p>
        </w:tc>
      </w:tr>
      <w:tr>
        <w:tc>
          <w:tcPr>
            <w:tcW w:type="dxa" w:w="4703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Technical</w:t>
            </w:r>
          </w:p>
        </w:tc>
        <w:tc>
          <w:tcPr>
            <w:tcW w:type="dxa" w:w="4703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No floating-point arithmetic on monetary values anywhere in the codebase.</w:t>
            </w:r>
          </w:p>
        </w:tc>
      </w:tr>
      <w:tr>
        <w:tc>
          <w:tcPr>
            <w:tcW w:type="dxa" w:w="4703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Regulatory</w:t>
            </w:r>
          </w:p>
        </w:tc>
        <w:tc>
          <w:tcPr>
            <w:tcW w:type="dxa" w:w="4703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Card data must not pass through platform servers. PCI-DSS SAQ-A only.</w:t>
            </w:r>
          </w:p>
        </w:tc>
      </w:tr>
      <w:tr>
        <w:tc>
          <w:tcPr>
            <w:tcW w:type="dxa" w:w="4703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Regulatory</w:t>
            </w:r>
          </w:p>
        </w:tc>
        <w:tc>
          <w:tcPr>
            <w:tcW w:type="dxa" w:w="4703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PII must not appear in application logs (Pino) or error tracking. Use redaction middleware.</w:t>
            </w:r>
          </w:p>
        </w:tc>
      </w:tr>
      <w:tr>
        <w:tc>
          <w:tcPr>
            <w:tcW w:type="dxa" w:w="4703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Regulatory</w:t>
            </w:r>
          </w:p>
        </w:tc>
        <w:tc>
          <w:tcPr>
            <w:tcW w:type="dxa" w:w="4703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Production deployment requires DPIA sign-off and pen-test report.</w:t>
            </w:r>
          </w:p>
        </w:tc>
      </w:tr>
      <w:tr>
        <w:tc>
          <w:tcPr>
            <w:tcW w:type="dxa" w:w="4703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Business</w:t>
            </w:r>
          </w:p>
        </w:tc>
        <w:tc>
          <w:tcPr>
            <w:tcW w:type="dxa" w:w="4703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The platform is not the source of truth for emission assessments. The external maritime authority system is. Disputes on assessment amounts are handled externally.</w:t>
            </w:r>
          </w:p>
        </w:tc>
      </w:tr>
      <w:tr>
        <w:tc>
          <w:tcPr>
            <w:tcW w:type="dxa" w:w="4703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Business</w:t>
            </w:r>
          </w:p>
        </w:tc>
        <w:tc>
          <w:tcPr>
            <w:tcW w:type="dxa" w:w="4703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The platform cannot override or modify the base emission fee from the external system (admin override in EMS-13 requires full audit trail and is for exceptional cases only).</w:t>
            </w:r>
          </w:p>
        </w:tc>
      </w:tr>
      <w:tr>
        <w:tc>
          <w:tcPr>
            <w:tcW w:type="dxa" w:w="4703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Business</w:t>
            </w:r>
          </w:p>
        </w:tc>
        <w:tc>
          <w:tcPr>
            <w:tcW w:type="dxa" w:w="4703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Blue Wave is the operating entity. NIMASA and Port Authority are beneficiaries, not operators of the platform.</w:t>
            </w:r>
          </w:p>
        </w:tc>
      </w:tr>
    </w:tbl>
    <w:p/>
    <w:p>
      <w:pPr>
        <w:pBdr>
          <w:bottom w:val="single" w:sz="6" w:space="1" w:color="008B8B"/>
        </w:pBdr>
        <w:spacing w:before="400" w:after="120"/>
      </w:pPr>
      <w:r>
        <w:rPr>
          <w:b/>
          <w:color w:val="0D1B3E"/>
          <w:sz w:val="32"/>
        </w:rPr>
        <w:t>10. Open Items &amp; Future Phases</w:t>
      </w:r>
    </w:p>
    <w:p>
      <w:pPr>
        <w:spacing w:before="240" w:after="80"/>
      </w:pPr>
      <w:r>
        <w:rPr>
          <w:b/>
          <w:color w:val="008B8B"/>
          <w:sz w:val="26"/>
        </w:rPr>
        <w:t>10.1  Open Items Requiring Decision Before Build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A2E4A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2351"/>
            <w:shd w:val="clear" w:color="auto" w:fill="1A2E4A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6"/>
              </w:rPr>
              <w:t>Item</w:t>
            </w:r>
          </w:p>
        </w:tc>
        <w:tc>
          <w:tcPr>
            <w:tcW w:type="dxa" w:w="2351"/>
            <w:shd w:val="clear" w:color="auto" w:fill="1A2E4A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6"/>
              </w:rPr>
              <w:t>Detail</w:t>
            </w:r>
          </w:p>
        </w:tc>
        <w:tc>
          <w:tcPr>
            <w:tcW w:type="dxa" w:w="2351"/>
            <w:shd w:val="clear" w:color="auto" w:fill="1A2E4A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6"/>
              </w:rPr>
              <w:t>Impact</w:t>
            </w:r>
          </w:p>
        </w:tc>
      </w:tr>
      <w:tr>
        <w:tc>
          <w:tcPr>
            <w:tcW w:type="dxa" w:w="2351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OI-01</w:t>
            </w:r>
          </w:p>
        </w:tc>
        <w:tc>
          <w:tcPr>
            <w:tcW w:type="dxa" w:w="2351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External Emission Authority API — MOCKED</w:t>
            </w:r>
          </w:p>
        </w:tc>
        <w:tc>
          <w:tcPr>
            <w:tcW w:type="dxa" w:w="2351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Full mock built at /api/assessment/[refId]. Payload schema defined (14 fields inc. feeAmountUSD, co2eTons, assessmentStatus). 4 test vessels registered. Production integration requires real API credentials + endpoint from NIMASA.</w:t>
            </w:r>
          </w:p>
        </w:tc>
        <w:tc>
          <w:tcPr>
            <w:tcW w:type="dxa" w:w="2351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IN PROGRESS — mock live, prod creds needed</w:t>
            </w:r>
          </w:p>
        </w:tc>
      </w:tr>
      <w:tr>
        <w:tc>
          <w:tcPr>
            <w:tcW w:type="dxa" w:w="2351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OI-02</w:t>
            </w:r>
          </w:p>
        </w:tc>
        <w:tc>
          <w:tcPr>
            <w:tcW w:type="dxa" w:w="2351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FX Rate Provider — RESOLVED</w:t>
            </w:r>
          </w:p>
        </w:tc>
        <w:tc>
          <w:tcPr>
            <w:tcW w:type="dxa" w:w="2351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ExchangeRate-API selected. Spot USD/NGN rate mocked at ₦1,637.20. Platform applies 1.5% spread → effective rate ₦1,661.72. Rate locked per PaymentOrder for 30 minutes.</w:t>
            </w:r>
          </w:p>
        </w:tc>
        <w:tc>
          <w:tcPr>
            <w:tcW w:type="dxa" w:w="2351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RESOLVED</w:t>
            </w:r>
          </w:p>
        </w:tc>
      </w:tr>
      <w:tr>
        <w:tc>
          <w:tcPr>
            <w:tcW w:type="dxa" w:w="2351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OI-03</w:t>
            </w:r>
          </w:p>
        </w:tc>
        <w:tc>
          <w:tcPr>
            <w:tcW w:type="dxa" w:w="2351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USD Payout Provider — RESOLVED</w:t>
            </w:r>
          </w:p>
        </w:tc>
        <w:tc>
          <w:tcPr>
            <w:tcW w:type="dxa" w:w="2351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Grey.co Business API selected. Provides USD virtual accounts and programmatic cross-border transfers for Blue Wave Maritime and Liquid Payments. NGN beneficiaries (NIMASA, Port Authority) paid via Paystack Transfer API.</w:t>
            </w:r>
          </w:p>
        </w:tc>
        <w:tc>
          <w:tcPr>
            <w:tcW w:type="dxa" w:w="2351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RESOLVED</w:t>
            </w:r>
          </w:p>
        </w:tc>
      </w:tr>
      <w:tr>
        <w:tc>
          <w:tcPr>
            <w:tcW w:type="dxa" w:w="2351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OI-04</w:t>
            </w:r>
          </w:p>
        </w:tc>
        <w:tc>
          <w:tcPr>
            <w:tcW w:type="dxa" w:w="2351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SplitRule Configuration — RESOLVED</w:t>
            </w:r>
          </w:p>
        </w:tc>
        <w:tc>
          <w:tcPr>
            <w:tcW w:type="dxa" w:w="2351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Equal split confirmed: 25% each (2,500 basis points) to NIMASA, Lagos Port Authority, Blue Wave Maritime, Liquid Payments. Total = 10,000 bp = 100%. Four parties, no reserve fund.</w:t>
            </w:r>
          </w:p>
        </w:tc>
        <w:tc>
          <w:tcPr>
            <w:tcW w:type="dxa" w:w="2351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RESOLVED</w:t>
            </w:r>
          </w:p>
        </w:tc>
      </w:tr>
      <w:tr>
        <w:tc>
          <w:tcPr>
            <w:tcW w:type="dxa" w:w="2351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OI-05</w:t>
            </w:r>
          </w:p>
        </w:tc>
        <w:tc>
          <w:tcPr>
            <w:tcW w:type="dxa" w:w="2351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Platform Service Charge — RESOLVED</w:t>
            </w:r>
          </w:p>
        </w:tc>
        <w:tc>
          <w:tcPr>
            <w:tcW w:type="dxa" w:w="2351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1.2% of base emission fee (percentage, not flat). Example: $124,730 base × 1.2% = $1,496.76 platform charge. Total payable = $126,226.76.</w:t>
            </w:r>
          </w:p>
        </w:tc>
        <w:tc>
          <w:tcPr>
            <w:tcW w:type="dxa" w:w="2351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RESOLVED</w:t>
            </w:r>
          </w:p>
        </w:tc>
      </w:tr>
      <w:tr>
        <w:tc>
          <w:tcPr>
            <w:tcW w:type="dxa" w:w="2351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OI-06</w:t>
            </w:r>
          </w:p>
        </w:tc>
        <w:tc>
          <w:tcPr>
            <w:tcW w:type="dxa" w:w="2351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Email &amp; SMS Providers — RESOLVED</w:t>
            </w:r>
          </w:p>
        </w:tc>
        <w:tc>
          <w:tcPr>
            <w:tcW w:type="dxa" w:w="2351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Email: Resend (resend.com) — from noreply@liquidemissions.ng, 7 transactional templates. SMS: Termii — sender ID LQDEMIT, 3 SMS templates, optional per-organisation.</w:t>
            </w:r>
          </w:p>
        </w:tc>
        <w:tc>
          <w:tcPr>
            <w:tcW w:type="dxa" w:w="2351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RESOLVED</w:t>
            </w:r>
          </w:p>
        </w:tc>
      </w:tr>
    </w:tbl>
    <w:p/>
    <w:p>
      <w:pPr>
        <w:spacing w:before="240" w:after="80"/>
      </w:pPr>
      <w:r>
        <w:rPr>
          <w:b/>
          <w:color w:val="008B8B"/>
          <w:sz w:val="26"/>
        </w:rPr>
        <w:t>10.2  Future Phases (Post v1.0)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2E4A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3135"/>
            <w:shd w:val="clear" w:color="auto" w:fill="1A2E4A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Feature</w:t>
            </w:r>
          </w:p>
        </w:tc>
        <w:tc>
          <w:tcPr>
            <w:tcW w:type="dxa" w:w="3135"/>
            <w:shd w:val="clear" w:color="auto" w:fill="1A2E4A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F-01</w:t>
            </w:r>
          </w:p>
        </w:tc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Crypto Collection</w:t>
            </w:r>
          </w:p>
        </w:tc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USDT/USDC payment via Coinbase Commerce or Bitpay. Stablecoin payout to beneficiaries.</w:t>
            </w:r>
          </w:p>
        </w:tc>
      </w:tr>
      <w:tr>
        <w:tc>
          <w:tcPr>
            <w:tcW w:type="dxa" w:w="313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F-02</w:t>
            </w:r>
          </w:p>
        </w:tc>
        <w:tc>
          <w:tcPr>
            <w:tcW w:type="dxa" w:w="313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Own Payment Gateway</w:t>
            </w:r>
          </w:p>
        </w:tc>
        <w:tc>
          <w:tcPr>
            <w:tcW w:type="dxa" w:w="313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Proprietary gateway replacing Paystack/Flutterwave. Pluggable adapter pattern (PAY-15) enables this with minimal core changes.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F-03</w:t>
            </w:r>
          </w:p>
        </w:tc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AIS/SEMSW Integration</w:t>
            </w:r>
          </w:p>
        </w:tc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Direct ingestion of vessel emission data from physical sensors. Eliminates reliance on external authority API for data.</w:t>
            </w:r>
          </w:p>
        </w:tc>
      </w:tr>
      <w:tr>
        <w:tc>
          <w:tcPr>
            <w:tcW w:type="dxa" w:w="313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F-04</w:t>
            </w:r>
          </w:p>
        </w:tc>
        <w:tc>
          <w:tcPr>
            <w:tcW w:type="dxa" w:w="313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Native Mobile Apps</w:t>
            </w:r>
          </w:p>
        </w:tc>
        <w:tc>
          <w:tcPr>
            <w:tcW w:type="dxa" w:w="313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iOS and Android apps for vessel operators.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F-05</w:t>
            </w:r>
          </w:p>
        </w:tc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Multi-Jurisdiction</w:t>
            </w:r>
          </w:p>
        </w:tc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Extend to other West African port jurisdictions beyond Nigeria.</w:t>
            </w:r>
          </w:p>
        </w:tc>
      </w:tr>
      <w:tr>
        <w:tc>
          <w:tcPr>
            <w:tcW w:type="dxa" w:w="313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F-06</w:t>
            </w:r>
          </w:p>
        </w:tc>
        <w:tc>
          <w:tcPr>
            <w:tcW w:type="dxa" w:w="313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SWIFT Alternative</w:t>
            </w:r>
          </w:p>
        </w:tc>
        <w:tc>
          <w:tcPr>
            <w:tcW w:type="dxa" w:w="313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If Wise is unavailable: evaluate Grey.co, Leatherback, or Flutterwave's international USD payout for beneficiaries requiring USD outside Wise corridors.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F-07</w:t>
            </w:r>
          </w:p>
        </w:tc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Instalment Payments</w:t>
            </w:r>
          </w:p>
        </w:tc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For large assessments, allow phased payment plans (requires escrow logic extension).</w:t>
            </w:r>
          </w:p>
        </w:tc>
      </w:tr>
      <w:tr>
        <w:tc>
          <w:tcPr>
            <w:tcW w:type="dxa" w:w="313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F-08</w:t>
            </w:r>
          </w:p>
        </w:tc>
        <w:tc>
          <w:tcPr>
            <w:tcW w:type="dxa" w:w="313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Advanced Analytics</w:t>
            </w:r>
          </w:p>
        </w:tc>
        <w:tc>
          <w:tcPr>
            <w:tcW w:type="dxa" w:w="313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BI dashboard with trend analysis, port comparisons, and predictive revenue modelling.</w:t>
            </w:r>
          </w:p>
        </w:tc>
      </w:tr>
    </w:tbl>
    <w:p/>
    <w:p>
      <w:pPr>
        <w:pBdr>
          <w:bottom w:val="single" w:sz="6" w:space="1" w:color="008B8B"/>
        </w:pBdr>
        <w:spacing w:before="400" w:after="120"/>
      </w:pPr>
      <w:r>
        <w:rPr>
          <w:b/>
          <w:color w:val="0D1B3E"/>
          <w:sz w:val="32"/>
        </w:rPr>
        <w:t>Appendix A — Payment State Machine</w:t>
      </w:r>
    </w:p>
    <w:p>
      <w:pPr>
        <w:spacing w:after="80"/>
      </w:pPr>
      <w:r>
        <w:rPr>
          <w:i w:val="0"/>
          <w:sz w:val="20"/>
        </w:rPr>
        <w:t>Valid state transitions for PaymentOrder: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2E4A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From State</w:t>
            </w:r>
          </w:p>
        </w:tc>
        <w:tc>
          <w:tcPr>
            <w:tcW w:type="dxa" w:w="3135"/>
            <w:shd w:val="clear" w:color="auto" w:fill="1A2E4A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To State</w:t>
            </w:r>
          </w:p>
        </w:tc>
        <w:tc>
          <w:tcPr>
            <w:tcW w:type="dxa" w:w="3135"/>
            <w:shd w:val="clear" w:color="auto" w:fill="1A2E4A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Trigger / Condition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PENDING</w:t>
            </w:r>
          </w:p>
        </w:tc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PROCESSING</w:t>
            </w:r>
          </w:p>
        </w:tc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Payment initiation acknowledged by gateway</w:t>
            </w:r>
          </w:p>
        </w:tc>
      </w:tr>
      <w:tr>
        <w:tc>
          <w:tcPr>
            <w:tcW w:type="dxa" w:w="313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PROCESSING</w:t>
            </w:r>
          </w:p>
        </w:tc>
        <w:tc>
          <w:tcPr>
            <w:tcW w:type="dxa" w:w="313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COMPLETED</w:t>
            </w:r>
          </w:p>
        </w:tc>
        <w:tc>
          <w:tcPr>
            <w:tcW w:type="dxa" w:w="313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Gateway webhook confirms successful charge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PROCESSING</w:t>
            </w:r>
          </w:p>
        </w:tc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FAILED</w:t>
            </w:r>
          </w:p>
        </w:tc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Gateway webhook confirms failed or declined charge</w:t>
            </w:r>
          </w:p>
        </w:tc>
      </w:tr>
      <w:tr>
        <w:tc>
          <w:tcPr>
            <w:tcW w:type="dxa" w:w="313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COMPLETED</w:t>
            </w:r>
          </w:p>
        </w:tc>
        <w:tc>
          <w:tcPr>
            <w:tcW w:type="dxa" w:w="313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REFUNDED</w:t>
            </w:r>
          </w:p>
        </w:tc>
        <w:tc>
          <w:tcPr>
            <w:tcW w:type="dxa" w:w="313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Refund processed via new reversal PaymentOrder (original remains COMPLETED + immutable)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FAILED</w:t>
            </w:r>
          </w:p>
        </w:tc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PENDING</w:t>
            </w:r>
          </w:p>
        </w:tc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Operator retries payment (new PaymentOrder created referencing same Payment Ref ID — idempotency check passes because prior order is FAILED, not COMPLETED)</w:t>
            </w:r>
          </w:p>
        </w:tc>
      </w:tr>
      <w:tr>
        <w:tc>
          <w:tcPr>
            <w:tcW w:type="dxa" w:w="313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PENDING/PROCESSING</w:t>
            </w:r>
          </w:p>
        </w:tc>
        <w:tc>
          <w:tcPr>
            <w:tcW w:type="dxa" w:w="313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CANCELLED</w:t>
            </w:r>
          </w:p>
        </w:tc>
        <w:tc>
          <w:tcPr>
            <w:tcW w:type="dxa" w:w="313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Operator cancels before payment submitted to gateway (PROCESSING → CANCELLED only within 30s grace window via gateway void)</w:t>
            </w:r>
          </w:p>
        </w:tc>
      </w:tr>
    </w:tbl>
    <w:p/>
    <w:p>
      <w:pPr>
        <w:pBdr>
          <w:bottom w:val="single" w:sz="6" w:space="1" w:color="008B8B"/>
        </w:pBdr>
        <w:spacing w:before="400" w:after="120"/>
      </w:pPr>
      <w:r>
        <w:rPr>
          <w:b/>
          <w:color w:val="0D1B3E"/>
          <w:sz w:val="32"/>
        </w:rPr>
        <w:t>Appendix B — Domain Events Reference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2E4A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Event Name</w:t>
            </w:r>
          </w:p>
        </w:tc>
        <w:tc>
          <w:tcPr>
            <w:tcW w:type="dxa" w:w="3135"/>
            <w:shd w:val="clear" w:color="auto" w:fill="1A2E4A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Context</w:t>
            </w:r>
          </w:p>
        </w:tc>
        <w:tc>
          <w:tcPr>
            <w:tcW w:type="dxa" w:w="3135"/>
            <w:shd w:val="clear" w:color="auto" w:fill="1A2E4A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PaymentOrderCreated</w:t>
            </w:r>
          </w:p>
        </w:tc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payments</w:t>
            </w:r>
          </w:p>
        </w:tc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New PaymentOrder created from assessment lookup</w:t>
            </w:r>
          </w:p>
        </w:tc>
      </w:tr>
      <w:tr>
        <w:tc>
          <w:tcPr>
            <w:tcW w:type="dxa" w:w="313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PaymentInitiated</w:t>
            </w:r>
          </w:p>
        </w:tc>
        <w:tc>
          <w:tcPr>
            <w:tcW w:type="dxa" w:w="313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payments</w:t>
            </w:r>
          </w:p>
        </w:tc>
        <w:tc>
          <w:tcPr>
            <w:tcW w:type="dxa" w:w="313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Gateway payment session started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PaymentCompleted</w:t>
            </w:r>
          </w:p>
        </w:tc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payments</w:t>
            </w:r>
          </w:p>
        </w:tc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Gateway confirms successful payment</w:t>
            </w:r>
          </w:p>
        </w:tc>
      </w:tr>
      <w:tr>
        <w:tc>
          <w:tcPr>
            <w:tcW w:type="dxa" w:w="313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PaymentFailed</w:t>
            </w:r>
          </w:p>
        </w:tc>
        <w:tc>
          <w:tcPr>
            <w:tcW w:type="dxa" w:w="313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payments</w:t>
            </w:r>
          </w:p>
        </w:tc>
        <w:tc>
          <w:tcPr>
            <w:tcW w:type="dxa" w:w="313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Gateway confirms failed payment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PaymentRefunded</w:t>
            </w:r>
          </w:p>
        </w:tc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payments</w:t>
            </w:r>
          </w:p>
        </w:tc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Reversal PaymentOrder completed</w:t>
            </w:r>
          </w:p>
        </w:tc>
      </w:tr>
      <w:tr>
        <w:tc>
          <w:tcPr>
            <w:tcW w:type="dxa" w:w="313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WalletCredited</w:t>
            </w:r>
          </w:p>
        </w:tc>
        <w:tc>
          <w:tcPr>
            <w:tcW w:type="dxa" w:w="313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settlement</w:t>
            </w:r>
          </w:p>
        </w:tc>
        <w:tc>
          <w:tcPr>
            <w:tcW w:type="dxa" w:w="313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Beneficiary wallet credited after settlement split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EscrowFunded</w:t>
            </w:r>
          </w:p>
        </w:tc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settlement</w:t>
            </w:r>
          </w:p>
        </w:tc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Escrow wallet funded on PaymentCompleted</w:t>
            </w:r>
          </w:p>
        </w:tc>
      </w:tr>
      <w:tr>
        <w:tc>
          <w:tcPr>
            <w:tcW w:type="dxa" w:w="313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SettlementBatchCreated</w:t>
            </w:r>
          </w:p>
        </w:tc>
        <w:tc>
          <w:tcPr>
            <w:tcW w:type="dxa" w:w="313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settlement</w:t>
            </w:r>
          </w:p>
        </w:tc>
        <w:tc>
          <w:tcPr>
            <w:tcW w:type="dxa" w:w="313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New batch triggered (manual or scheduled)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SettlementDispatched</w:t>
            </w:r>
          </w:p>
        </w:tc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settlement</w:t>
            </w:r>
          </w:p>
        </w:tc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Payout API call made for beneficiary</w:t>
            </w:r>
          </w:p>
        </w:tc>
      </w:tr>
      <w:tr>
        <w:tc>
          <w:tcPr>
            <w:tcW w:type="dxa" w:w="313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SettlementCompleted</w:t>
            </w:r>
          </w:p>
        </w:tc>
        <w:tc>
          <w:tcPr>
            <w:tcW w:type="dxa" w:w="313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settlement</w:t>
            </w:r>
          </w:p>
        </w:tc>
        <w:tc>
          <w:tcPr>
            <w:tcW w:type="dxa" w:w="313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Payout confirmed by provider webhook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SettlementFailed</w:t>
            </w:r>
          </w:p>
        </w:tc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settlement</w:t>
            </w:r>
          </w:p>
        </w:tc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Payout failed — admin alert triggered</w:t>
            </w:r>
          </w:p>
        </w:tc>
      </w:tr>
      <w:tr>
        <w:tc>
          <w:tcPr>
            <w:tcW w:type="dxa" w:w="313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AssessmentRetrieved</w:t>
            </w:r>
          </w:p>
        </w:tc>
        <w:tc>
          <w:tcPr>
            <w:tcW w:type="dxa" w:w="313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emissions</w:t>
            </w:r>
          </w:p>
        </w:tc>
        <w:tc>
          <w:tcPr>
            <w:tcW w:type="dxa" w:w="313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External API returned assessment data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AssessmentIncomplete</w:t>
            </w:r>
          </w:p>
        </w:tc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emissions</w:t>
            </w:r>
          </w:p>
        </w:tc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External API returned insufficient data for fee calculation</w:t>
            </w:r>
          </w:p>
        </w:tc>
      </w:tr>
      <w:tr>
        <w:tc>
          <w:tcPr>
            <w:tcW w:type="dxa" w:w="313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UserRegistered</w:t>
            </w:r>
          </w:p>
        </w:tc>
        <w:tc>
          <w:tcPr>
            <w:tcW w:type="dxa" w:w="313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identity</w:t>
            </w:r>
          </w:p>
        </w:tc>
        <w:tc>
          <w:tcPr>
            <w:tcW w:type="dxa" w:w="313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New user account created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OrganisationCreated</w:t>
            </w:r>
          </w:p>
        </w:tc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identity</w:t>
            </w:r>
          </w:p>
        </w:tc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New organisation onboarded</w:t>
            </w:r>
          </w:p>
        </w:tc>
      </w:tr>
      <w:tr>
        <w:tc>
          <w:tcPr>
            <w:tcW w:type="dxa" w:w="313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OrganisationSuspended</w:t>
            </w:r>
          </w:p>
        </w:tc>
        <w:tc>
          <w:tcPr>
            <w:tcW w:type="dxa" w:w="313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identity</w:t>
            </w:r>
          </w:p>
        </w:tc>
        <w:tc>
          <w:tcPr>
            <w:tcW w:type="dxa" w:w="313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Organisation suspended by admin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08080"/>
        <w:sz w:val="16"/>
      </w:rPr>
      <w:t>Liquid Emissions Revenue Collection  |  Software Requirements Specification v1.0  |  Confidential — Internal Use Only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