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97B27"/>
          <w:sz w:val="40"/>
          <w:szCs w:val="40"/>
        </w:rPr>
        <w:t xml:space="preserve">Tangerine365 Mobile App</w:t>
      </w:r>
    </w:p>
    <w:p>
      <w:pPr>
        <w:spacing w:after="40"/>
      </w:pPr>
      <w:r>
        <w:rPr>
          <w:b/>
          <w:bCs/>
          <w:color w:val="141A21"/>
          <w:sz w:val="32"/>
          <w:szCs w:val="32"/>
        </w:rPr>
        <w:t xml:space="preserve">Pending API Endpoints</w:t>
      </w:r>
    </w:p>
    <w:p>
      <w:pPr>
        <w:spacing w:after="60"/>
      </w:pPr>
      <w:r>
        <w:rPr>
          <w:i/>
          <w:iCs/>
          <w:color w:val="6B7385"/>
          <w:sz w:val="22"/>
          <w:szCs w:val="22"/>
        </w:rPr>
        <w:t xml:space="preserve">Consolidated across all four service modules</w:t>
      </w:r>
    </w:p>
    <w:p>
      <w:pPr>
        <w:pBdr>
          <w:bottom w:val="single" w:color="397B27" w:sz="12" w:space="6"/>
        </w:pBdr>
        <w:spacing w:after="160"/>
      </w:pPr>
      <w:r>
        <w:rPr>
          <w:color w:val="6B7385"/>
          <w:sz w:val="20"/>
          <w:szCs w:val="20"/>
        </w:rPr>
        <w:t xml:space="preserve">Prepared 8 September 2026</w:t>
      </w:r>
    </w:p>
    <w:p>
      <w:pPr>
        <w:spacing w:after="120" w:line="276"/>
      </w:pPr>
      <w:r>
        <w:t xml:space="preserve">This document lists the backend API endpoints still required for the Tangerine365 mobile app, grouped by the four home service modules. The corresponding screens are already built and wired to the field shapes noted; they currently render sample/placeholder data and will consume live data as soon as each endpoint is available.</w:t>
      </w:r>
    </w:p>
    <w:p>
      <w:pPr>
        <w:spacing w:after="120" w:line="276"/>
      </w:pPr>
      <w:r>
        <w:t xml:space="preserve">Endpoints already wired are </w:t>
      </w:r>
      <w:r>
        <w:rPr>
          <w:i/>
          <w:iCs/>
        </w:rPr>
        <w:t xml:space="preserve">not</w:t>
      </w:r>
      <w:r>
        <w:t xml:space="preserve"> repeated here — these include authentication and 2FA, the course catalogue and user courses, recommended courses, user stats, banners/settings, core user profile, and support (</w:t>
      </w:r>
      <w:r>
        <w:rPr>
          <w:rFonts w:ascii="Consolas" w:cs="Consolas" w:eastAsia="Consolas" w:hAnsi="Consolas"/>
          <w:sz w:val="20"/>
          <w:szCs w:val="20"/>
        </w:rPr>
        <w:t xml:space="preserve">auth/sendSupport</w:t>
      </w:r>
      <w:r>
        <w:t xml:space="preserve">). See </w:t>
      </w:r>
      <w:r>
        <w:rPr>
          <w:rFonts w:ascii="Consolas" w:cs="Consolas" w:eastAsia="Consolas" w:hAnsi="Consolas"/>
          <w:sz w:val="20"/>
          <w:szCs w:val="20"/>
        </w:rPr>
        <w:t xml:space="preserve">lib/constants/app_urls.dart</w:t>
      </w:r>
      <w:r>
        <w:t xml:space="preserve"> for the live list.</w:t>
      </w:r>
    </w:p>
    <w:p>
      <w:pPr>
        <w:pStyle w:val="Heading2"/>
        <w:spacing w:after="80" w:before="220"/>
      </w:pPr>
      <w:r>
        <w:rPr>
          <w:b/>
          <w:bCs/>
          <w:color w:val="397B27"/>
        </w:rPr>
        <w:t xml:space="preserve">Legend</w:t>
      </w:r>
    </w:p>
    <w:p>
      <w:pPr>
        <w:spacing w:after="120" w:line="276"/>
      </w:pPr>
      <w:r>
        <w:rPr>
          <w:b/>
          <w:bCs/>
          <w:color w:val="B45309"/>
        </w:rPr>
        <w:t xml:space="preserve">[Client] </w:t>
      </w:r>
      <w:r>
        <w:t xml:space="preserve">supplied by the client’s systems (read-only — the app consumes, never writes).</w:t>
      </w:r>
    </w:p>
    <w:p>
      <w:pPr>
        <w:spacing w:after="120" w:line="276"/>
      </w:pPr>
      <w:r>
        <w:rPr>
          <w:b/>
          <w:bCs/>
          <w:color w:val="397B27"/>
        </w:rPr>
        <w:t xml:space="preserve">[LMS] </w:t>
      </w:r>
      <w:r>
        <w:t xml:space="preserve">supplied by the Tangerine365 LMS backend (tangerinelms.com).</w:t>
      </w:r>
    </w:p>
    <w:p>
      <w:pPr>
        <w:pStyle w:val="Heading1"/>
        <w:spacing w:after="120" w:before="320"/>
      </w:pPr>
      <w:r>
        <w:rPr>
          <w:b/>
          <w:bCs/>
          <w:color w:val="141A21"/>
        </w:rPr>
        <w:t xml:space="preserve">Module 1 — Courses</w:t>
      </w:r>
    </w:p>
    <w:p>
      <w:pPr>
        <w:spacing w:after="120"/>
      </w:pPr>
      <w:r>
        <w:rPr>
          <w:b/>
          <w:bCs/>
          <w:color w:val="397B27"/>
        </w:rPr>
        <w:t xml:space="preserve">Status: </w:t>
      </w:r>
      <w:r>
        <w:rPr>
          <w:i/>
          <w:iCs/>
          <w:color w:val="6B7385"/>
        </w:rPr>
        <w:t xml:space="preserve">Built and largely wired. The endpoints below back screens that still show sample data.</w:t>
      </w:r>
    </w:p>
    <w:p>
      <w:pPr>
        <w:pStyle w:val="ListParagraph"/>
        <w:numPr>
          <w:ilvl w:val="0"/>
          <w:numId w:val="2"/>
        </w:numPr>
        <w:spacing w:after="60" w:line="272"/>
      </w:pPr>
      <w:r>
        <w:rPr>
          <w:b/>
          <w:bCs/>
          <w:color w:val="141A21"/>
        </w:rPr>
        <w:t xml:space="preserve">Leaderboard</w:t>
      </w:r>
      <w:r>
        <w:rPr>
          <w:color w:val="141A21"/>
        </w:rPr>
        <w:t xml:space="preserve"> — the signed-in user’s rank, points, level and badge count, plus the leaderboard list (rank, name, avatar, points). Backs Leaderboard (06 / 06A / 06B / 06C).</w:t>
      </w:r>
    </w:p>
    <w:p>
      <w:pPr>
        <w:pStyle w:val="ListParagraph"/>
        <w:numPr>
          <w:ilvl w:val="0"/>
          <w:numId w:val="2"/>
        </w:numPr>
        <w:spacing w:after="60" w:line="272"/>
      </w:pPr>
      <w:r>
        <w:rPr>
          <w:b/>
          <w:bCs/>
          <w:color w:val="141A21"/>
        </w:rPr>
        <w:t xml:space="preserve">Competencies</w:t>
      </w:r>
      <w:r>
        <w:rPr>
          <w:color w:val="141A21"/>
        </w:rPr>
        <w:t xml:space="preserve"> — the list of attained competencies (name, category, level or score, date attained). Backs Competencies (13).</w:t>
      </w:r>
    </w:p>
    <w:p>
      <w:pPr>
        <w:pStyle w:val="ListParagraph"/>
        <w:numPr>
          <w:ilvl w:val="0"/>
          <w:numId w:val="2"/>
        </w:numPr>
        <w:spacing w:after="60" w:line="272"/>
      </w:pPr>
      <w:r>
        <w:rPr>
          <w:b/>
          <w:bCs/>
          <w:color w:val="141A21"/>
        </w:rPr>
        <w:t xml:space="preserve">Certificates</w:t>
      </w:r>
      <w:r>
        <w:rPr>
          <w:color w:val="141A21"/>
        </w:rPr>
        <w:t xml:space="preserve"> — two parts: (a) the certificates list (course/title, issue date, identifier); and (b) certificate generation + download as PDF (by course/certificate id → file or PDF URL). Backs Certificates (14 / 14A / 14B).</w:t>
      </w:r>
    </w:p>
    <w:p>
      <w:pPr>
        <w:pStyle w:val="ListParagraph"/>
        <w:numPr>
          <w:ilvl w:val="0"/>
          <w:numId w:val="2"/>
        </w:numPr>
        <w:spacing w:after="60" w:line="272"/>
      </w:pPr>
      <w:r>
        <w:rPr>
          <w:b/>
          <w:bCs/>
          <w:color w:val="141A21"/>
        </w:rPr>
        <w:t xml:space="preserve">Profile — custom fields</w:t>
      </w:r>
      <w:r>
        <w:rPr>
          <w:color w:val="141A21"/>
        </w:rPr>
        <w:t xml:space="preserve"> — extend the existing user-details response with the custom fields (e.g. date of birth, marital status, phone, department). Core fields and last-login are already wired; these extra fields currently show “—”. Backs Profile (17).</w:t>
      </w:r>
    </w:p>
    <w:p>
      <w:pPr>
        <w:pStyle w:val="Heading1"/>
        <w:spacing w:after="120" w:before="320"/>
      </w:pPr>
      <w:r>
        <w:rPr>
          <w:b/>
          <w:bCs/>
          <w:color w:val="141A21"/>
        </w:rPr>
        <w:t xml:space="preserve">Module 2 — Knowledge Repository</w:t>
      </w:r>
    </w:p>
    <w:p>
      <w:pPr>
        <w:spacing w:after="120"/>
      </w:pPr>
      <w:r>
        <w:rPr>
          <w:b/>
          <w:bCs/>
          <w:color w:val="397B27"/>
        </w:rPr>
        <w:t xml:space="preserve">Status: </w:t>
      </w:r>
      <w:r>
        <w:rPr>
          <w:i/>
          <w:iCs/>
          <w:color w:val="6B7385"/>
        </w:rPr>
        <w:t xml:space="preserve">Not yet rebuilt to the new design (screens 18A–18F). The home card is marked “Coming soon” and a legacy HTML repository screen remains in place. The endpoints below are anticipated for when the redesign is scheduled; exact field shapes will be confirmed at build time.</w:t>
      </w:r>
    </w:p>
    <w:p>
      <w:pPr>
        <w:pStyle w:val="ListParagraph"/>
        <w:numPr>
          <w:ilvl w:val="0"/>
          <w:numId w:val="2"/>
        </w:numPr>
        <w:spacing w:after="60" w:line="272"/>
      </w:pPr>
      <w:r>
        <w:rPr>
          <w:b/>
          <w:bCs/>
          <w:color w:val="141A21"/>
        </w:rPr>
        <w:t xml:space="preserve">Categories</w:t>
      </w:r>
      <w:r>
        <w:rPr>
          <w:color w:val="141A21"/>
        </w:rPr>
        <w:t xml:space="preserve"> — the repository category tree (id, title, parent, item counts).</w:t>
      </w:r>
    </w:p>
    <w:p>
      <w:pPr>
        <w:pStyle w:val="ListParagraph"/>
        <w:numPr>
          <w:ilvl w:val="0"/>
          <w:numId w:val="2"/>
        </w:numPr>
        <w:spacing w:after="60" w:line="272"/>
      </w:pPr>
      <w:r>
        <w:rPr>
          <w:b/>
          <w:bCs/>
          <w:color w:val="141A21"/>
        </w:rPr>
        <w:t xml:space="preserve">Content by category</w:t>
      </w:r>
      <w:r>
        <w:rPr>
          <w:color w:val="141A21"/>
        </w:rPr>
        <w:t xml:space="preserve"> — articles/documents within a category (title, body or HTML, attachments, last updated).</w:t>
      </w:r>
    </w:p>
    <w:p>
      <w:pPr>
        <w:pStyle w:val="ListParagraph"/>
        <w:numPr>
          <w:ilvl w:val="0"/>
          <w:numId w:val="2"/>
        </w:numPr>
        <w:spacing w:after="60" w:line="272"/>
      </w:pPr>
      <w:r>
        <w:rPr>
          <w:b/>
          <w:bCs/>
          <w:color w:val="141A21"/>
        </w:rPr>
        <w:t xml:space="preserve">FAQs</w:t>
      </w:r>
      <w:r>
        <w:rPr>
          <w:color w:val="141A21"/>
        </w:rPr>
        <w:t xml:space="preserve"> — structured FAQ entries (question, answer, category). Currently the FAQ opens a hard-coded external web page rather than an API.</w:t>
      </w:r>
    </w:p>
    <w:p>
      <w:pPr>
        <w:pStyle w:val="Heading1"/>
        <w:spacing w:after="120" w:before="320"/>
      </w:pPr>
      <w:r>
        <w:rPr>
          <w:b/>
          <w:bCs/>
          <w:color w:val="141A21"/>
        </w:rPr>
        <w:t xml:space="preserve">Module 3 — Banking Tools</w:t>
      </w:r>
    </w:p>
    <w:p>
      <w:pPr>
        <w:spacing w:after="120"/>
      </w:pPr>
      <w:r>
        <w:rPr>
          <w:b/>
          <w:bCs/>
          <w:color w:val="397B27"/>
        </w:rPr>
        <w:t xml:space="preserve">Status: </w:t>
      </w:r>
      <w:r>
        <w:rPr>
          <w:i/>
          <w:iCs/>
          <w:color w:val="6B7385"/>
        </w:rPr>
        <w:t xml:space="preserve">Built (19A–19G). The Loan Calculator is fully functional client-side and needs no endpoint.</w:t>
      </w:r>
    </w:p>
    <w:p>
      <w:pPr>
        <w:spacing w:after="60" w:before="60"/>
      </w:pPr>
      <w:r>
        <w:rPr>
          <w:b/>
          <w:bCs/>
          <w:color w:val="B45309"/>
        </w:rPr>
        <w:t xml:space="preserve">[Client] </w:t>
      </w:r>
      <w:r>
        <w:rPr>
          <w:b/>
          <w:bCs/>
          <w:color w:val="141A21"/>
        </w:rPr>
        <w:t xml:space="preserve">Forex &amp; Rates (read-only — consume only, no writes)</w:t>
      </w:r>
    </w:p>
    <w:p>
      <w:pPr>
        <w:pStyle w:val="ListParagraph"/>
        <w:numPr>
          <w:ilvl w:val="0"/>
          <w:numId w:val="2"/>
        </w:numPr>
        <w:spacing w:after="60" w:line="272"/>
      </w:pPr>
      <w:r>
        <w:rPr>
          <w:b/>
          <w:bCs/>
          <w:color w:val="141A21"/>
        </w:rPr>
        <w:t xml:space="preserve">Rate-table list</w:t>
      </w:r>
      <w:r>
        <w:rPr>
          <w:color w:val="141A21"/>
        </w:rPr>
        <w:t xml:space="preserve"> — the set of rate tables plus a “rates updated” timestamp — NAFEX, PTA &amp; Form A, Other Conversion, Local Currency Deposit, Foreign Currency Deposit, Eurobond, Treasury Bills.</w:t>
      </w:r>
    </w:p>
    <w:p>
      <w:pPr>
        <w:pStyle w:val="ListParagraph"/>
        <w:numPr>
          <w:ilvl w:val="0"/>
          <w:numId w:val="2"/>
        </w:numPr>
        <w:spacing w:after="60" w:line="272"/>
      </w:pPr>
      <w:r>
        <w:rPr>
          <w:b/>
          <w:bCs/>
          <w:color w:val="141A21"/>
        </w:rPr>
        <w:t xml:space="preserve">Rows per table</w:t>
      </w:r>
      <w:r>
        <w:rPr>
          <w:color w:val="141A21"/>
        </w:rPr>
        <w:t xml:space="preserve"> — the data for each table. NAFEX: currency name, code, buy, sell. Other tables carry their own shapes (deposit rates by volume/tenor, Eurobond buy/sell, etc.). The app renders whatever is returned. To integrate we need the base URL, the auth mechanism (API key / header, if any) and the response schema.</w:t>
      </w:r>
    </w:p>
    <w:p>
      <w:pPr>
        <w:spacing w:after="60" w:before="100"/>
      </w:pPr>
      <w:r>
        <w:rPr>
          <w:b/>
          <w:bCs/>
          <w:color w:val="B45309"/>
        </w:rPr>
        <w:t xml:space="preserve">[Client] </w:t>
      </w:r>
      <w:r>
        <w:rPr>
          <w:b/>
          <w:bCs/>
          <w:color w:val="141A21"/>
        </w:rPr>
        <w:t xml:space="preserve">Forms</w:t>
      </w:r>
    </w:p>
    <w:p>
      <w:pPr>
        <w:pStyle w:val="ListParagraph"/>
        <w:numPr>
          <w:ilvl w:val="0"/>
          <w:numId w:val="2"/>
        </w:numPr>
        <w:spacing w:after="60" w:line="272"/>
      </w:pPr>
      <w:r>
        <w:rPr>
          <w:b/>
          <w:bCs/>
          <w:color w:val="141A21"/>
        </w:rPr>
        <w:t xml:space="preserve">Form categories</w:t>
      </w:r>
      <w:r>
        <w:rPr>
          <w:color w:val="141A21"/>
        </w:rPr>
        <w:t xml:space="preserve"> — id, title, subtitle.</w:t>
      </w:r>
    </w:p>
    <w:p>
      <w:pPr>
        <w:pStyle w:val="ListParagraph"/>
        <w:numPr>
          <w:ilvl w:val="0"/>
          <w:numId w:val="2"/>
        </w:numPr>
        <w:spacing w:after="60" w:line="272"/>
      </w:pPr>
      <w:r>
        <w:rPr>
          <w:b/>
          <w:bCs/>
          <w:color w:val="141A21"/>
        </w:rPr>
        <w:t xml:space="preserve">Forms per category</w:t>
      </w:r>
      <w:r>
        <w:rPr>
          <w:color w:val="141A21"/>
        </w:rPr>
        <w:t xml:space="preserve"> — id, name, size label, and a PDF download URL. PDF only. As with Forex &amp; Rates, these are provided via a read-only client endpoint (updated 8 Sep 2026 — previously expected from the LMS).</w:t>
      </w:r>
    </w:p>
    <w:p>
      <w:pPr>
        <w:spacing w:after="120" w:line="276"/>
      </w:pPr>
      <w:r>
        <w:rPr>
          <w:i/>
          <w:iCs/>
          <w:color w:val="6B7385"/>
        </w:rPr>
        <w:t xml:space="preserve">The in-app Download button currently shows a “pending backend” message and will fetch the PDF URL once available.</w:t>
      </w:r>
    </w:p>
    <w:p>
      <w:pPr>
        <w:pStyle w:val="Heading1"/>
        <w:spacing w:after="120" w:before="320"/>
      </w:pPr>
      <w:r>
        <w:rPr>
          <w:b/>
          <w:bCs/>
          <w:color w:val="141A21"/>
        </w:rPr>
        <w:t xml:space="preserve">Module 4 — Information Management</w:t>
      </w:r>
    </w:p>
    <w:p>
      <w:pPr>
        <w:spacing w:after="120"/>
      </w:pPr>
      <w:r>
        <w:rPr>
          <w:b/>
          <w:bCs/>
          <w:color w:val="397B27"/>
        </w:rPr>
        <w:t xml:space="preserve">Status: </w:t>
      </w:r>
      <w:r>
        <w:rPr>
          <w:i/>
          <w:iCs/>
          <w:color w:val="6B7385"/>
        </w:rPr>
        <w:t xml:space="preserve">Built — Messages (12A–12G) and Announcements (20A–20D).</w:t>
      </w:r>
    </w:p>
    <w:p>
      <w:pPr>
        <w:spacing w:after="60" w:before="60"/>
      </w:pPr>
      <w:r>
        <w:rPr>
          <w:b/>
          <w:bCs/>
          <w:color w:val="397B27"/>
        </w:rPr>
        <w:t xml:space="preserve">[LMS] </w:t>
      </w:r>
      <w:r>
        <w:rPr>
          <w:b/>
          <w:bCs/>
          <w:color w:val="141A21"/>
        </w:rPr>
        <w:t xml:space="preserve">Announcements</w:t>
      </w:r>
    </w:p>
    <w:p>
      <w:pPr>
        <w:pStyle w:val="ListParagraph"/>
        <w:numPr>
          <w:ilvl w:val="0"/>
          <w:numId w:val="2"/>
        </w:numPr>
        <w:spacing w:after="60" w:line="272"/>
      </w:pPr>
      <w:r>
        <w:rPr>
          <w:b/>
          <w:bCs/>
          <w:color w:val="141A21"/>
        </w:rPr>
        <w:t xml:space="preserve">List announcements</w:t>
      </w:r>
      <w:r>
        <w:rPr>
          <w:color w:val="141A21"/>
        </w:rPr>
        <w:t xml:space="preserve"> — id, title, body, author, category/source, tag, posted date, isRead.</w:t>
      </w:r>
    </w:p>
    <w:p>
      <w:pPr>
        <w:pStyle w:val="ListParagraph"/>
        <w:numPr>
          <w:ilvl w:val="0"/>
          <w:numId w:val="2"/>
        </w:numPr>
        <w:spacing w:after="60" w:line="272"/>
      </w:pPr>
      <w:r>
        <w:rPr>
          <w:b/>
          <w:bCs/>
          <w:color w:val="141A21"/>
        </w:rPr>
        <w:t xml:space="preserve">Mark announcement as read</w:t>
      </w:r>
      <w:r>
        <w:rPr>
          <w:color w:val="141A21"/>
        </w:rPr>
        <w:t xml:space="preserve"> — by announcement id (updates the unread count).</w:t>
      </w:r>
    </w:p>
    <w:p>
      <w:pPr>
        <w:spacing w:after="60" w:before="100"/>
      </w:pPr>
      <w:r>
        <w:rPr>
          <w:b/>
          <w:bCs/>
          <w:color w:val="397B27"/>
        </w:rPr>
        <w:t xml:space="preserve">[LMS] </w:t>
      </w:r>
      <w:r>
        <w:rPr>
          <w:b/>
          <w:bCs/>
          <w:color w:val="141A21"/>
        </w:rPr>
        <w:t xml:space="preserve">Messages</w:t>
      </w:r>
    </w:p>
    <w:p>
      <w:pPr>
        <w:pStyle w:val="ListParagraph"/>
        <w:numPr>
          <w:ilvl w:val="0"/>
          <w:numId w:val="2"/>
        </w:numPr>
        <w:spacing w:after="60" w:line="272"/>
      </w:pPr>
      <w:r>
        <w:rPr>
          <w:b/>
          <w:bCs/>
          <w:color w:val="141A21"/>
        </w:rPr>
        <w:t xml:space="preserve">Inbox list</w:t>
      </w:r>
      <w:r>
        <w:rPr>
          <w:color w:val="141A21"/>
        </w:rPr>
        <w:t xml:space="preserve"> — id, sender name, sender role, subject, preview, body, timestamp, isUnread.</w:t>
      </w:r>
    </w:p>
    <w:p>
      <w:pPr>
        <w:pStyle w:val="ListParagraph"/>
        <w:numPr>
          <w:ilvl w:val="0"/>
          <w:numId w:val="2"/>
        </w:numPr>
        <w:spacing w:after="60" w:line="272"/>
      </w:pPr>
      <w:r>
        <w:rPr>
          <w:b/>
          <w:bCs/>
          <w:color w:val="141A21"/>
        </w:rPr>
        <w:t xml:space="preserve">Sent list</w:t>
      </w:r>
      <w:r>
        <w:rPr>
          <w:color w:val="141A21"/>
        </w:rPr>
        <w:t xml:space="preserve"> — same shape, for the Sent tab.</w:t>
      </w:r>
    </w:p>
    <w:p>
      <w:pPr>
        <w:pStyle w:val="ListParagraph"/>
        <w:numPr>
          <w:ilvl w:val="0"/>
          <w:numId w:val="2"/>
        </w:numPr>
        <w:spacing w:after="60" w:line="272"/>
      </w:pPr>
      <w:r>
        <w:rPr>
          <w:b/>
          <w:bCs/>
          <w:color w:val="141A21"/>
        </w:rPr>
        <w:t xml:space="preserve">Get / mark message read</w:t>
      </w:r>
      <w:r>
        <w:rPr>
          <w:color w:val="141A21"/>
        </w:rPr>
        <w:t xml:space="preserve"> — full body by id + mark read (can be folded into the inbox list if it already returns bodies).</w:t>
      </w:r>
    </w:p>
    <w:p>
      <w:pPr>
        <w:pStyle w:val="ListParagraph"/>
        <w:numPr>
          <w:ilvl w:val="0"/>
          <w:numId w:val="2"/>
        </w:numPr>
        <w:spacing w:after="60" w:line="272"/>
      </w:pPr>
      <w:r>
        <w:rPr>
          <w:b/>
          <w:bCs/>
          <w:color w:val="141A21"/>
        </w:rPr>
        <w:t xml:space="preserve">Send reply</w:t>
      </w:r>
      <w:r>
        <w:rPr>
          <w:color w:val="141A21"/>
        </w:rPr>
        <w:t xml:space="preserve"> — messageId/threadId + content → success/failure; adds to Sent. Drives the sending → sent / failed states.</w:t>
      </w:r>
    </w:p>
    <w:p>
      <w:pPr>
        <w:spacing w:after="60" w:before="100"/>
      </w:pPr>
      <w:r>
        <w:rPr>
          <w:b/>
          <w:bCs/>
          <w:i/>
          <w:iCs/>
          <w:color w:val="6B7385"/>
        </w:rPr>
        <w:t xml:space="preserve">Optional</w:t>
      </w:r>
    </w:p>
    <w:p>
      <w:pPr>
        <w:pStyle w:val="ListParagraph"/>
        <w:numPr>
          <w:ilvl w:val="0"/>
          <w:numId w:val="2"/>
        </w:numPr>
        <w:spacing w:after="60" w:line="272"/>
      </w:pPr>
      <w:r>
        <w:rPr>
          <w:b/>
          <w:bCs/>
          <w:color w:val="141A21"/>
        </w:rPr>
        <w:t xml:space="preserve">Unread counts</w:t>
      </w:r>
      <w:r>
        <w:rPr>
          <w:color w:val="141A21"/>
        </w:rPr>
        <w:t xml:space="preserve"> — for the hub badges (“1 unread”, “3 new”) and the menu — can also be derived from the list responses.</w:t>
      </w:r>
    </w:p>
    <w:p>
      <w:pPr>
        <w:pStyle w:val="ListParagraph"/>
        <w:numPr>
          <w:ilvl w:val="0"/>
          <w:numId w:val="2"/>
        </w:numPr>
        <w:spacing w:after="60" w:line="272"/>
      </w:pPr>
      <w:r>
        <w:rPr>
          <w:b/>
          <w:bCs/>
          <w:color w:val="141A21"/>
        </w:rPr>
        <w:t xml:space="preserve">Compose new message</w:t>
      </w:r>
      <w:r>
        <w:rPr>
          <w:color w:val="141A21"/>
        </w:rPr>
        <w:t xml:space="preserve"> — only if starting a new thread is in scope; the current designs cover reply only.</w:t>
      </w:r>
    </w:p>
    <w:p>
      <w:pPr>
        <w:pStyle w:val="Heading1"/>
        <w:spacing w:after="120" w:before="320"/>
      </w:pPr>
      <w:r>
        <w:rPr>
          <w:b/>
          <w:bCs/>
          <w:color w:val="141A21"/>
        </w:rPr>
        <w:t xml:space="preserve">Integration notes</w:t>
      </w:r>
    </w:p>
    <w:p>
      <w:pPr>
        <w:pStyle w:val="ListParagraph"/>
        <w:numPr>
          <w:ilvl w:val="0"/>
          <w:numId w:val="2"/>
        </w:numPr>
        <w:spacing w:after="60" w:line="272"/>
      </w:pPr>
      <w:r>
        <w:rPr>
          <w:b/>
          <w:bCs/>
          <w:color w:val="141A21"/>
        </w:rPr>
        <w:t xml:space="preserve">Session / auth</w:t>
      </w:r>
      <w:r>
        <w:rPr>
          <w:color w:val="141A21"/>
        </w:rPr>
        <w:t xml:space="preserve"> — LMS data endpoints are PHP-session bound (PHPSESSID cookie); the app already carries the session cookie on every request.</w:t>
      </w:r>
    </w:p>
    <w:p>
      <w:pPr>
        <w:pStyle w:val="ListParagraph"/>
        <w:numPr>
          <w:ilvl w:val="0"/>
          <w:numId w:val="2"/>
        </w:numPr>
        <w:spacing w:after="60" w:line="272"/>
      </w:pPr>
      <w:r>
        <w:rPr>
          <w:b/>
          <w:bCs/>
          <w:color w:val="141A21"/>
        </w:rPr>
        <w:t xml:space="preserve">Base URL</w:t>
      </w:r>
      <w:r>
        <w:rPr>
          <w:color w:val="141A21"/>
        </w:rPr>
        <w:t xml:space="preserve"> — https://tangerinelms.com/ with the /api prefix for the enterprise endpoints (existing convention).</w:t>
      </w:r>
    </w:p>
    <w:p>
      <w:pPr>
        <w:pStyle w:val="ListParagraph"/>
        <w:numPr>
          <w:ilvl w:val="0"/>
          <w:numId w:val="2"/>
        </w:numPr>
        <w:spacing w:after="60" w:line="272"/>
      </w:pPr>
      <w:r>
        <w:rPr>
          <w:b/>
          <w:bCs/>
          <w:color w:val="141A21"/>
        </w:rPr>
        <w:t xml:space="preserve">Client forex feed</w:t>
      </w:r>
      <w:r>
        <w:rPr>
          <w:color w:val="141A21"/>
        </w:rPr>
        <w:t xml:space="preserve"> — a separate, read-only source — the app only consumes it and never updates rates.</w:t>
      </w:r>
    </w:p>
    <w:p>
      <w:pPr>
        <w:pStyle w:val="ListParagraph"/>
        <w:numPr>
          <w:ilvl w:val="0"/>
          <w:numId w:val="2"/>
        </w:numPr>
        <w:spacing w:after="60" w:line="272"/>
      </w:pPr>
      <w:r>
        <w:rPr>
          <w:b/>
          <w:bCs/>
          <w:color w:val="141A21"/>
        </w:rPr>
        <w:t xml:space="preserve">Loan Calculator</w:t>
      </w:r>
      <w:r>
        <w:rPr>
          <w:color w:val="141A21"/>
        </w:rPr>
        <w:t xml:space="preserve"> — no endpoint required — all computation (amortization, flat rate, APR, schedule) is done on-device.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A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141A21"/>
      <w:sz w:val="30"/>
      <w:szCs w:val="30"/>
    </w:rPr>
  </w:style>
  <w:style w:type="paragraph" w:styleId="Heading2">
    <w:name w:val="Heading 2"/>
    <w:basedOn w:val="Normal"/>
    <w:next w:val="Normal"/>
    <w:qFormat/>
    <w:pPr>
      <w:spacing w:after="80" w:before="220"/>
    </w:pPr>
    <w:rPr>
      <w:b/>
      <w:bCs/>
      <w:color w:val="397B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Tangerine365 Mobile — Pending API Endpoints</dc:title>
  <dc:creator>Tangerine365 Mobile Team</dc:creator>
  <cp:lastModifiedBy>Un-named</cp:lastModifiedBy>
  <cp:revision>1</cp:revision>
  <dcterms:created xsi:type="dcterms:W3CDTF">2026-09-09T10:34:01.153Z</dcterms:created>
  <dcterms:modified xsi:type="dcterms:W3CDTF">2026-09-09T10:34:01.154Z</dcterms:modified>
</cp:coreProperties>
</file>

<file path=docProps/custom.xml><?xml version="1.0" encoding="utf-8"?>
<Properties xmlns="http://schemas.openxmlformats.org/officeDocument/2006/custom-properties" xmlns:vt="http://schemas.openxmlformats.org/officeDocument/2006/docPropsVTypes"/>
</file>