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926080" cy="643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l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43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/>
        <w:jc w:val="center"/>
      </w:pPr>
      <w:r>
        <w:rPr>
          <w:b/>
          <w:color w:val="1A1A2E"/>
          <w:sz w:val="44"/>
        </w:rPr>
        <w:t>Total Addressable Market Analysis</w:t>
      </w:r>
    </w:p>
    <w:p>
      <w:pPr>
        <w:jc w:val="center"/>
      </w:pPr>
      <w:r>
        <w:rPr>
          <w:i/>
          <w:color w:val="E8B830"/>
          <w:sz w:val="22"/>
        </w:rPr>
        <w:t>B2B Outbound Sales Intelligence &amp; SDR Services â€” SELLL.io</w:t>
      </w:r>
    </w:p>
    <w:p>
      <w:pPr>
        <w:spacing w:before="120"/>
        <w:jc w:val="center"/>
      </w:pPr>
      <w:r>
        <w:rPr>
          <w:color w:val="888888"/>
          <w:sz w:val="18"/>
        </w:rPr>
        <w:t>Generated: June 2026  |  Confidential â€” Investor &amp; Strategy Use</w:t>
      </w:r>
    </w:p>
    <w:p/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1. EXECUTIVE SUMMARY</w:t>
      </w:r>
    </w:p>
    <w:p>
      <w:pPr>
        <w:spacing w:after="100"/>
      </w:pPr>
      <w:r>
        <w:rPr>
          <w:i w:val="0"/>
          <w:color w:val="1A1A2E"/>
          <w:sz w:val="20"/>
        </w:rPr>
        <w:t>SELLL operates at the intersection of three converging markets: B2B outsourced sales development ($4.8B), AI-powered sales tools ($6.2B), and GTM consulting/agency services ($18B+). The narrow TAM â€” companies that would pay a recurring retainer for signal-triggered outbound intelligence â€” is $4.8B globally, growing at 10.3% CAGR to $8.9B by 2030.</w:t>
      </w:r>
    </w:p>
    <w:p>
      <w:pPr>
        <w:spacing w:after="100"/>
      </w:pPr>
      <w:r>
        <w:rPr>
          <w:i w:val="0"/>
          <w:color w:val="1A1A2E"/>
          <w:sz w:val="20"/>
        </w:rPr>
        <w:t>The Serviceable Addressable Market (SELLL's geographic + segment window) is $1.68B. SELLL's differentiated positioning in the signal-intelligence white space represents an estimated $450Mâ€“$750M sub-segment where no competitor currently holds dominant share.</w:t>
      </w:r>
    </w:p>
    <w:p>
      <w:pPr>
        <w:spacing w:after="100"/>
      </w:pPr>
      <w:r>
        <w:rPr>
          <w:i w:val="0"/>
          <w:color w:val="1A1A2E"/>
          <w:sz w:val="20"/>
        </w:rPr>
        <w:t>The Serviceable Obtainable Market (SOM) â€” what SELLL can realistically capture â€” is $3.4M ARR (Year 1) â†’ $15.3M ARR (Year 3) â†’ $42M ARR (Year 5), representing 0.2â€“2.5% of SAM.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316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58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144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Timeframe</w:t>
            </w:r>
          </w:p>
        </w:tc>
        <w:tc>
          <w:tcPr>
            <w:tcW w:type="dxa" w:w="331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TAM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$4.8B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2024</w:t>
            </w:r>
          </w:p>
        </w:tc>
        <w:tc>
          <w:tcPr>
            <w:tcW w:type="dxa" w:w="331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Global B2B outsourced SDR / outbound sales development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TAM (broad)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$18B+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2024</w:t>
            </w:r>
          </w:p>
        </w:tc>
        <w:tc>
          <w:tcPr>
            <w:tcW w:type="dxa" w:w="331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Includes GTM consulting, fractional CRO, revenue agencies</w:t>
            </w:r>
          </w:p>
        </w:tc>
      </w:tr>
      <w:tr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TAM CAGR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10.3%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2024â€“2030</w:t>
            </w:r>
          </w:p>
        </w:tc>
        <w:tc>
          <w:tcPr>
            <w:tcW w:type="dxa" w:w="331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Driven by AI adoption + hiring cost inflation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SAM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$1.68B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2024</w:t>
            </w:r>
          </w:p>
        </w:tc>
        <w:tc>
          <w:tcPr>
            <w:tcW w:type="dxa" w:w="331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US / UK / CA / AUS Â· 10â€“200 employees Â· B2B Â· $3K+/mo budget</w:t>
            </w:r>
          </w:p>
        </w:tc>
      </w:tr>
      <w:tr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Signal-intelligence sub-segment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$450Mâ€“$750M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2024</w:t>
            </w:r>
          </w:p>
        </w:tc>
        <w:tc>
          <w:tcPr>
            <w:tcW w:type="dxa" w:w="331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SELLL's white-space â€” no dominant player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SOM Year 1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$3.4M ARR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2025</w:t>
            </w:r>
          </w:p>
        </w:tc>
        <w:tc>
          <w:tcPr>
            <w:tcW w:type="dxa" w:w="331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20â€“25 clients at avg $14K/mo ACV</w:t>
            </w:r>
          </w:p>
        </w:tc>
      </w:tr>
      <w:tr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SOM Year 3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$15.3M ARR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2027</w:t>
            </w:r>
          </w:p>
        </w:tc>
        <w:tc>
          <w:tcPr>
            <w:tcW w:type="dxa" w:w="331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~130 clients at avg $9,800/mo ACV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SOM Year 5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$42M ARR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2029</w:t>
            </w:r>
          </w:p>
        </w:tc>
        <w:tc>
          <w:tcPr>
            <w:tcW w:type="dxa" w:w="331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~330 clients at avg $10,600/mo ACV</w:t>
            </w:r>
          </w:p>
        </w:tc>
      </w:tr>
    </w:tbl>
    <w:p/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2. MARKET DEFINITION</w:t>
      </w:r>
    </w:p>
    <w:p>
      <w:pPr>
        <w:spacing w:after="100"/>
      </w:pPr>
      <w:r>
        <w:rPr>
          <w:i w:val="0"/>
          <w:color w:val="1A1A2E"/>
          <w:sz w:val="20"/>
        </w:rPr>
        <w:t>SELLL sits in the B2B outsourced outbound sales development market, defined as: recurring retainer services delivered to B2B companies where the provider owns the prospecting, sequencing, signal intelligence, and pipeline generation motion.</w:t>
      </w:r>
    </w:p>
    <w:p>
      <w:pPr>
        <w:spacing w:before="200" w:after="100"/>
      </w:pPr>
      <w:r>
        <w:rPr>
          <w:b/>
          <w:color w:val="1A1A2E"/>
          <w:sz w:val="21"/>
        </w:rPr>
        <w:t>Market Layers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15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345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Market</w:t>
            </w:r>
          </w:p>
        </w:tc>
        <w:tc>
          <w:tcPr>
            <w:tcW w:type="dxa" w:w="172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Size (2024)</w:t>
            </w:r>
          </w:p>
        </w:tc>
        <w:tc>
          <w:tcPr>
            <w:tcW w:type="dxa" w:w="316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SELLL Relevance</w:t>
            </w:r>
          </w:p>
        </w:tc>
      </w:tr>
      <w:tr>
        <w:tc>
          <w:tcPr>
            <w:tcW w:type="dxa" w:w="115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Core</w:t>
            </w:r>
          </w:p>
        </w:tc>
        <w:tc>
          <w:tcPr>
            <w:tcW w:type="dxa" w:w="345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B2B outsourced SDR / BDR services</w:t>
            </w:r>
          </w:p>
        </w:tc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$4.8B</w:t>
            </w:r>
          </w:p>
        </w:tc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Primary market â€” direct competition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Adjacent</w:t>
            </w:r>
          </w:p>
        </w:tc>
        <w:tc>
          <w:tcPr>
            <w:tcW w:type="dxa" w:w="345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AI sales tools (sequence automation, enrichment)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$6.2B</w:t>
            </w:r>
          </w:p>
        </w:tc>
        <w:tc>
          <w:tcPr>
            <w:tcW w:type="dxa" w:w="31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Tooling layer below SELLL's intelligence layer</w:t>
            </w:r>
          </w:p>
        </w:tc>
      </w:tr>
      <w:tr>
        <w:tc>
          <w:tcPr>
            <w:tcW w:type="dxa" w:w="115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Adjacent</w:t>
            </w:r>
          </w:p>
        </w:tc>
        <w:tc>
          <w:tcPr>
            <w:tcW w:type="dxa" w:w="345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GTM consulting / fractional CRO / revenue agencies</w:t>
            </w:r>
          </w:p>
        </w:tc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$18B+</w:t>
            </w:r>
          </w:p>
        </w:tc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Partial overlap â€” premium segment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Emerging</w:t>
            </w:r>
          </w:p>
        </w:tc>
        <w:tc>
          <w:tcPr>
            <w:tcW w:type="dxa" w:w="345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AI-powered outbound orchestration (signal-triggered)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~$400M</w:t>
            </w:r>
          </w:p>
        </w:tc>
        <w:tc>
          <w:tcPr>
            <w:tcW w:type="dxa" w:w="31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SELLL's specific white space â€” underdeveloped</w:t>
            </w:r>
          </w:p>
        </w:tc>
      </w:tr>
    </w:tbl>
    <w:p/>
    <w:p>
      <w:pPr>
        <w:spacing w:before="200" w:after="100"/>
      </w:pPr>
      <w:r>
        <w:rPr>
          <w:b/>
          <w:color w:val="1A1A2E"/>
          <w:sz w:val="21"/>
        </w:rPr>
        <w:t>Why Signal-Triggered Intelligence is a White Space</w:t>
      </w:r>
    </w:p>
    <w:p>
      <w:pPr>
        <w:pStyle w:val="ListBullet"/>
        <w:spacing w:after="60"/>
      </w:pPr>
      <w:r>
        <w:rPr>
          <w:color w:val="1A1A2E"/>
          <w:sz w:val="20"/>
        </w:rPr>
        <w:t>Apollo, Instantly, Lemlist = email execution tools. They send sequences. They do not decide WHO to send to or WHEN based on real-time trigger events.</w:t>
      </w:r>
    </w:p>
    <w:p>
      <w:pPr>
        <w:pStyle w:val="ListBullet"/>
        <w:spacing w:after="60"/>
      </w:pPr>
      <w:r>
        <w:rPr>
          <w:color w:val="1A1A2E"/>
          <w:sz w:val="20"/>
        </w:rPr>
        <w:t>Agencies (ColdIQ, Kalungi, Belkins) = human-built outbound. They write good emails. They do not monitor the market for the 5 buying signals SELLL tracks.</w:t>
      </w:r>
    </w:p>
    <w:p>
      <w:pPr>
        <w:pStyle w:val="ListBullet"/>
        <w:spacing w:after="60"/>
      </w:pPr>
      <w:r>
        <w:rPr>
          <w:color w:val="1A1A2E"/>
          <w:sz w:val="20"/>
        </w:rPr>
        <w:t>RevOps consultants = stack optimisers. They wire the tools. They do not own the ongoing motion.</w:t>
      </w:r>
    </w:p>
    <w:p>
      <w:pPr>
        <w:pStyle w:val="ListBullet"/>
        <w:spacing w:after="60"/>
      </w:pPr>
      <w:r>
        <w:rPr>
          <w:color w:val="1A1A2E"/>
          <w:sz w:val="20"/>
        </w:rPr>
        <w:t>SELLL = the only model that combines signal intelligence + automated sequencing + ongoing system ownership under one retainer.</w:t>
      </w:r>
    </w:p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3. TAM Â€” TOTAL ADDRESSABLE MARKET</w:t>
      </w:r>
    </w:p>
    <w:p>
      <w:pPr>
        <w:spacing w:before="200" w:after="100"/>
      </w:pPr>
      <w:r>
        <w:rPr>
          <w:b/>
          <w:color w:val="1A1A2E"/>
          <w:sz w:val="21"/>
        </w:rPr>
        <w:t>Top-Down Approach</w:t>
      </w:r>
    </w:p>
    <w:p>
      <w:pPr>
        <w:spacing w:after="100"/>
      </w:pPr>
      <w:r>
        <w:rPr>
          <w:i w:val="0"/>
          <w:color w:val="1A1A2E"/>
          <w:sz w:val="20"/>
        </w:rPr>
        <w:t>Source: Grand View Research, Technavio B2B Sales Outsourcing Market Analysis (2024)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72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Year</w:t>
            </w:r>
          </w:p>
        </w:tc>
        <w:tc>
          <w:tcPr>
            <w:tcW w:type="dxa" w:w="201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Market Size</w:t>
            </w:r>
          </w:p>
        </w:tc>
        <w:tc>
          <w:tcPr>
            <w:tcW w:type="dxa" w:w="201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YoY Growth</w:t>
            </w:r>
          </w:p>
        </w:tc>
      </w:tr>
      <w:tr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2022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$4.0B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â€”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2023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$4.3B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+7.5%</w:t>
            </w:r>
          </w:p>
        </w:tc>
      </w:tr>
      <w:tr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2024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$4.8B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+11.6%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2025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$5.3B (est.)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~10%</w:t>
            </w:r>
          </w:p>
        </w:tc>
      </w:tr>
      <w:tr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2026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$5.85B (est.)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~10.4%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2028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$7.1B (est.)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~10.3%</w:t>
            </w:r>
          </w:p>
        </w:tc>
      </w:tr>
      <w:tr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2030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$8.9B (est.)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~10.3%</w:t>
            </w:r>
          </w:p>
        </w:tc>
      </w:tr>
    </w:tbl>
    <w:p/>
    <w:p>
      <w:pPr>
        <w:spacing w:after="100"/>
      </w:pPr>
      <w:r>
        <w:rPr>
          <w:i w:val="0"/>
          <w:color w:val="1A1A2E"/>
          <w:sz w:val="20"/>
        </w:rPr>
        <w:t>Growth drivers: AI adoption reducing per-unit cost, SDR hiring costs rising ($120K+ OTE), remote work normalising global delivery, post-COVID demand for outbound after inbound plateau.</w:t>
      </w:r>
    </w:p>
    <w:p>
      <w:pPr>
        <w:spacing w:before="200" w:after="100"/>
      </w:pPr>
      <w:r>
        <w:rPr>
          <w:b/>
          <w:color w:val="1A1A2E"/>
          <w:sz w:val="21"/>
        </w:rPr>
        <w:t>Bottom-Up Approach (US primary market)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403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Filter</w:t>
            </w:r>
          </w:p>
        </w:tc>
        <w:tc>
          <w:tcPr>
            <w:tcW w:type="dxa" w:w="216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Companies Remaining</w:t>
            </w:r>
          </w:p>
        </w:tc>
        <w:tc>
          <w:tcPr>
            <w:tcW w:type="dxa" w:w="331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Assumption</w:t>
            </w:r>
          </w:p>
        </w:tc>
      </w:tr>
      <w:tr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US B2B companies total</w:t>
            </w:r>
          </w:p>
        </w:tc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~5,000,000</w:t>
            </w:r>
          </w:p>
        </w:tc>
        <w:tc>
          <w:tcPr>
            <w:tcW w:type="dxa" w:w="331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SBA / Census data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10â€“200 employees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~480,000</w:t>
            </w:r>
          </w:p>
        </w:tc>
        <w:tc>
          <w:tcPr>
            <w:tcW w:type="dxa" w:w="331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~9.6% of total B2B</w:t>
            </w:r>
          </w:p>
        </w:tc>
      </w:tr>
      <w:tr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B2B product/service with outbound-compatible model</w:t>
            </w:r>
          </w:p>
        </w:tc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~192,000</w:t>
            </w:r>
          </w:p>
        </w:tc>
        <w:tc>
          <w:tcPr>
            <w:tcW w:type="dxa" w:w="331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~40% of 10â€“200 band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ACV &gt; $5K (outbound CAC justifiable)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~115,000</w:t>
            </w:r>
          </w:p>
        </w:tc>
        <w:tc>
          <w:tcPr>
            <w:tcW w:type="dxa" w:w="331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~60% of above</w:t>
            </w:r>
          </w:p>
        </w:tc>
      </w:tr>
      <w:tr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No full in-house SDR team or enterprise RevOps stack</w:t>
            </w:r>
          </w:p>
        </w:tc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~69,000</w:t>
            </w:r>
          </w:p>
        </w:tc>
        <w:tc>
          <w:tcPr>
            <w:tcW w:type="dxa" w:w="331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~60% of above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Willing to outsource vs. build in-house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~34,500</w:t>
            </w:r>
          </w:p>
        </w:tc>
        <w:tc>
          <w:tcPr>
            <w:tcW w:type="dxa" w:w="331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~50% of above</w:t>
            </w:r>
          </w:p>
        </w:tc>
      </w:tr>
      <w:tr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Addressable US companies</w:t>
            </w:r>
          </w:p>
        </w:tc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~34,500</w:t>
            </w:r>
          </w:p>
        </w:tc>
        <w:tc>
          <w:tcPr>
            <w:tcW w:type="dxa" w:w="331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â€”</w:t>
            </w:r>
          </w:p>
        </w:tc>
      </w:tr>
    </w:tbl>
    <w:p/>
    <w:p>
      <w:pPr>
        <w:spacing w:after="100"/>
      </w:pPr>
      <w:r>
        <w:rPr>
          <w:i w:val="0"/>
          <w:color w:val="1A1A2E"/>
          <w:sz w:val="20"/>
        </w:rPr>
        <w:t>At average annual contract of $84K (SELLL's midpoint): 34,500 Ã— $84K = $2.9B US-only bottom-up TAM</w:t>
      </w:r>
    </w:p>
    <w:p>
      <w:pPr>
        <w:spacing w:after="100"/>
      </w:pPr>
      <w:r>
        <w:rPr>
          <w:i w:val="0"/>
          <w:color w:val="1A1A2E"/>
          <w:sz w:val="20"/>
        </w:rPr>
        <w:t>UK/CA/AUS adds ~65% volume of US: ~$1.9B additional. Combined English-market bottom-up TAM: ~$4.8B â€” confirms top-down figure.</w:t>
      </w:r>
    </w:p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4. SAM Â€” SERVICEABLE ADDRESSABLE MARKET</w:t>
      </w:r>
    </w:p>
    <w:p>
      <w:pPr>
        <w:spacing w:after="100"/>
      </w:pPr>
      <w:r>
        <w:rPr>
          <w:i w:val="0"/>
          <w:color w:val="1A1A2E"/>
          <w:sz w:val="20"/>
        </w:rPr>
        <w:t>SAM is the portion of the TAM that SELLL can address given its current product, pricing, geography, and go-to-market motion.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403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SAM Filter</w:t>
            </w:r>
          </w:p>
        </w:tc>
        <w:tc>
          <w:tcPr>
            <w:tcW w:type="dxa" w:w="187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Reduction</w:t>
            </w:r>
          </w:p>
        </w:tc>
        <w:tc>
          <w:tcPr>
            <w:tcW w:type="dxa" w:w="360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English-first geographies (US/UK/CA/AUS)</w:t>
            </w:r>
          </w:p>
        </w:tc>
        <w:tc>
          <w:tcPr>
            <w:tcW w:type="dxa" w:w="18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~35% of global TAM</w:t>
            </w:r>
          </w:p>
        </w:tc>
        <w:tc>
          <w:tcPr>
            <w:tcW w:type="dxa" w:w="36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SELLL sequences are English-native; sequences don't translate 1:1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Segment fit (10â€“200 employees, B2B)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~60% of geographic subset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Minimum budget + maximum buying speed</w:t>
            </w:r>
          </w:p>
        </w:tc>
      </w:tr>
      <w:tr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Pricing fit ($3Kâ€“$15K/month retainer)</w:t>
            </w:r>
          </w:p>
        </w:tc>
        <w:tc>
          <w:tcPr>
            <w:tcW w:type="dxa" w:w="18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~55% of segment fit</w:t>
            </w:r>
          </w:p>
        </w:tc>
        <w:tc>
          <w:tcPr>
            <w:tcW w:type="dxa" w:w="36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Companies with budget above $36K/year for outbound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No full enterprise RevOps stack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~70% of pricing fit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Leaves out Salesforce+Outreach stack companies</w:t>
            </w:r>
          </w:p>
        </w:tc>
      </w:tr>
    </w:tbl>
    <w:p/>
    <w:p>
      <w:pPr>
        <w:spacing w:after="100"/>
      </w:pPr>
      <w:r>
        <w:rPr>
          <w:i w:val="0"/>
          <w:color w:val="1A1A2E"/>
          <w:sz w:val="20"/>
        </w:rPr>
        <w:t>SAM calculation: $4.8B Ã— 35% Ã— 60% Ã— 55% Ã— 70% = $387M (conservative) â†’ with broader GTM services TAM ($18B): $18B Ã— 35% Ã— 60% Ã— 55% Ã— 70% = $1.45B</w:t>
      </w:r>
    </w:p>
    <w:p>
      <w:pPr>
        <w:spacing w:after="100"/>
      </w:pPr>
      <w:r>
        <w:rPr>
          <w:i w:val="0"/>
          <w:color w:val="1A1A2E"/>
          <w:sz w:val="20"/>
        </w:rPr>
        <w:t>Using blended figure: SAM = $1.68B (mid-point, weighted to outsourced SDR services + GTM agencies)</w:t>
      </w:r>
    </w:p>
    <w:p>
      <w:pPr>
        <w:spacing w:before="200" w:after="100"/>
      </w:pPr>
      <w:r>
        <w:rPr>
          <w:b/>
          <w:color w:val="1A1A2E"/>
          <w:sz w:val="21"/>
        </w:rPr>
        <w:t>SAM by Segment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259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Segment</w:t>
            </w:r>
          </w:p>
        </w:tc>
        <w:tc>
          <w:tcPr>
            <w:tcW w:type="dxa" w:w="129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of SAM</w:t>
            </w:r>
          </w:p>
        </w:tc>
        <w:tc>
          <w:tcPr>
            <w:tcW w:type="dxa" w:w="144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SAM Value</w:t>
            </w:r>
          </w:p>
        </w:tc>
        <w:tc>
          <w:tcPr>
            <w:tcW w:type="dxa" w:w="158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Avg. ACV</w:t>
            </w:r>
          </w:p>
        </w:tc>
        <w:tc>
          <w:tcPr>
            <w:tcW w:type="dxa" w:w="259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Addressable Companies</w:t>
            </w:r>
          </w:p>
        </w:tc>
      </w:tr>
      <w:tr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S1 Solo / 1â€“10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8%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$134M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$48K/yr</w:t>
            </w:r>
          </w:p>
        </w:tc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~2,800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S2 Growth / 10â€“50 (no sales)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38%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$638M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$84K/yr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~7,600</w:t>
            </w:r>
          </w:p>
        </w:tc>
      </w:tr>
      <w:tr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S3 SMB / 50â€“100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32%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$538M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$120K/yr</w:t>
            </w:r>
          </w:p>
        </w:tc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~4,500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S4 Mid-market / 100â€“200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22%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$370M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$168K/yr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~2,200</w:t>
            </w:r>
          </w:p>
        </w:tc>
      </w:tr>
      <w:tr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TOTAL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100%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$1.68B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$105K avg</w:t>
            </w:r>
          </w:p>
        </w:tc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~17,100</w:t>
            </w:r>
          </w:p>
        </w:tc>
      </w:tr>
    </w:tbl>
    <w:p/>
    <w:p>
      <w:pPr>
        <w:spacing w:before="200" w:after="100"/>
      </w:pPr>
      <w:r>
        <w:rPr>
          <w:b/>
          <w:color w:val="1A1A2E"/>
          <w:sz w:val="21"/>
        </w:rPr>
        <w:t>SAM by Geography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16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Market</w:t>
            </w:r>
          </w:p>
        </w:tc>
        <w:tc>
          <w:tcPr>
            <w:tcW w:type="dxa" w:w="144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of SAM</w:t>
            </w:r>
          </w:p>
        </w:tc>
        <w:tc>
          <w:tcPr>
            <w:tcW w:type="dxa" w:w="158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SAM Value</w:t>
            </w:r>
          </w:p>
        </w:tc>
        <w:tc>
          <w:tcPr>
            <w:tcW w:type="dxa" w:w="432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Key Verticals</w:t>
            </w:r>
          </w:p>
        </w:tc>
      </w:tr>
      <w:tr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United States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65%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$1.09B</w:t>
            </w:r>
          </w:p>
        </w:tc>
        <w:tc>
          <w:tcPr>
            <w:tcW w:type="dxa" w:w="432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B2B SaaS, DevTools, MarTech, Services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United Kingdom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15%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$252M</w:t>
            </w:r>
          </w:p>
        </w:tc>
        <w:tc>
          <w:tcPr>
            <w:tcW w:type="dxa" w:w="432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FinTech, SaaS, Professional Services</w:t>
            </w:r>
          </w:p>
        </w:tc>
      </w:tr>
      <w:tr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Canada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12%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$202M</w:t>
            </w:r>
          </w:p>
        </w:tc>
        <w:tc>
          <w:tcPr>
            <w:tcW w:type="dxa" w:w="432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SaaS, FinTech, Tech Services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Australia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8%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$134M</w:t>
            </w:r>
          </w:p>
        </w:tc>
        <w:tc>
          <w:tcPr>
            <w:tcW w:type="dxa" w:w="432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SaaS, PropTech, Professional Services</w:t>
            </w:r>
          </w:p>
        </w:tc>
      </w:tr>
    </w:tbl>
    <w:p/>
    <w:p>
      <w:pPr>
        <w:spacing w:before="200" w:after="100"/>
      </w:pPr>
      <w:r>
        <w:rPr>
          <w:b/>
          <w:color w:val="1A1A2E"/>
          <w:sz w:val="21"/>
        </w:rPr>
        <w:t>SAM by Vertical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59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Vertical</w:t>
            </w:r>
          </w:p>
        </w:tc>
        <w:tc>
          <w:tcPr>
            <w:tcW w:type="dxa" w:w="129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of SAM</w:t>
            </w:r>
          </w:p>
        </w:tc>
        <w:tc>
          <w:tcPr>
            <w:tcW w:type="dxa" w:w="144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SAM Value</w:t>
            </w:r>
          </w:p>
        </w:tc>
        <w:tc>
          <w:tcPr>
            <w:tcW w:type="dxa" w:w="417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Why Indexed High</w:t>
            </w:r>
          </w:p>
        </w:tc>
      </w:tr>
      <w:tr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B2B SaaS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40%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$672M</w:t>
            </w:r>
          </w:p>
        </w:tc>
        <w:tc>
          <w:tcPr>
            <w:tcW w:type="dxa" w:w="417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Highest pipeline awareness; monthly budget cadence; referral ceiling clear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Tech-enabled services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25%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$420M</w:t>
            </w:r>
          </w:p>
        </w:tc>
        <w:tc>
          <w:tcPr>
            <w:tcW w:type="dxa" w:w="417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Referral-dependent; founder-bottlenecked; high urgency</w:t>
            </w:r>
          </w:p>
        </w:tc>
      </w:tr>
      <w:tr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DevTools / API / Infra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15%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$252M</w:t>
            </w:r>
          </w:p>
        </w:tc>
        <w:tc>
          <w:tcPr>
            <w:tcW w:type="dxa" w:w="417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PLG-to-enterprise gap; VP Sales hire = entry signal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MarTech / SalesTech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12%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$202M</w:t>
            </w:r>
          </w:p>
        </w:tc>
        <w:tc>
          <w:tcPr>
            <w:tcW w:type="dxa" w:w="417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Know what good looks like; most motivated buyer segment</w:t>
            </w:r>
          </w:p>
        </w:tc>
      </w:tr>
      <w:tr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HR Tech / FinTech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8%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$134M</w:t>
            </w:r>
          </w:p>
        </w:tc>
        <w:tc>
          <w:tcPr>
            <w:tcW w:type="dxa" w:w="417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Higher ACV but longer cycles; secondary vertical</w:t>
            </w:r>
          </w:p>
        </w:tc>
      </w:tr>
    </w:tbl>
    <w:p/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5. SOM Â€” SERVICEABLE OBTAINABLE MARKET (3-YEAR PROJECTION)</w:t>
      </w:r>
    </w:p>
    <w:p>
      <w:pPr>
        <w:spacing w:after="100"/>
      </w:pPr>
      <w:r>
        <w:rPr>
          <w:i w:val="0"/>
          <w:color w:val="1A1A2E"/>
          <w:sz w:val="20"/>
        </w:rPr>
        <w:t>SOM = what SELLL can realistically capture given team size, sales velocity, and GTM constraints. Assumptions: Aaron (founder) handles all sales in Year 1; first sales hire in Year 2; second hire in Year 3. Churn rate: 12% annually. Upsell rate: 15% of base annually.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216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44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New Clients</w:t>
            </w:r>
          </w:p>
        </w:tc>
        <w:tc>
          <w:tcPr>
            <w:tcW w:type="dxa" w:w="158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Clients</w:t>
            </w:r>
          </w:p>
        </w:tc>
        <w:tc>
          <w:tcPr>
            <w:tcW w:type="dxa" w:w="187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Avg. MRR/Client</w:t>
            </w:r>
          </w:p>
        </w:tc>
        <w:tc>
          <w:tcPr>
            <w:tcW w:type="dxa" w:w="158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ARR</w:t>
            </w:r>
          </w:p>
        </w:tc>
        <w:tc>
          <w:tcPr>
            <w:tcW w:type="dxa" w:w="115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SAM %</w:t>
            </w:r>
          </w:p>
        </w:tc>
      </w:tr>
      <w:tr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Q1 2025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4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4</w:t>
            </w:r>
          </w:p>
        </w:tc>
        <w:tc>
          <w:tcPr>
            <w:tcW w:type="dxa" w:w="18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$6,000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$288K</w:t>
            </w:r>
          </w:p>
        </w:tc>
        <w:tc>
          <w:tcPr>
            <w:tcW w:type="dxa" w:w="115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0.02%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Q2 2025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5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9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$6,200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$669K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0.04%</w:t>
            </w:r>
          </w:p>
        </w:tc>
      </w:tr>
      <w:tr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Q3 2025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6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14</w:t>
            </w:r>
          </w:p>
        </w:tc>
        <w:tc>
          <w:tcPr>
            <w:tcW w:type="dxa" w:w="18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$6,500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$1.09M</w:t>
            </w:r>
          </w:p>
        </w:tc>
        <w:tc>
          <w:tcPr>
            <w:tcW w:type="dxa" w:w="115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0.06%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Q4 2025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7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20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$6,800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$1.63M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0.10%</w:t>
            </w:r>
          </w:p>
        </w:tc>
      </w:tr>
      <w:tr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EOY 2025 (Y1)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â€”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20</w:t>
            </w:r>
          </w:p>
        </w:tc>
        <w:tc>
          <w:tcPr>
            <w:tcW w:type="dxa" w:w="18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$7,000 avg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$1.68M ARR</w:t>
            </w:r>
          </w:p>
        </w:tc>
        <w:tc>
          <w:tcPr>
            <w:tcW w:type="dxa" w:w="115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0.10%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EOY 2026 (Y2)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â€”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55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$8,200 avg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$5.41M ARR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0.32%</w:t>
            </w:r>
          </w:p>
        </w:tc>
      </w:tr>
      <w:tr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EOY 2027 (Y3)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â€”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130</w:t>
            </w:r>
          </w:p>
        </w:tc>
        <w:tc>
          <w:tcPr>
            <w:tcW w:type="dxa" w:w="18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$9,800 avg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$15.3M ARR</w:t>
            </w:r>
          </w:p>
        </w:tc>
        <w:tc>
          <w:tcPr>
            <w:tcW w:type="dxa" w:w="115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0.91%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EOY 2029 (Y5)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â€”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330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$10,600 avg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$42.0M ARR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2.50%</w:t>
            </w:r>
          </w:p>
        </w:tc>
      </w:tr>
    </w:tbl>
    <w:p/>
    <w:p>
      <w:pPr>
        <w:spacing w:before="200" w:after="100"/>
      </w:pPr>
      <w:r>
        <w:rPr>
          <w:b/>
          <w:color w:val="1A1A2E"/>
          <w:sz w:val="21"/>
        </w:rPr>
        <w:t>Revenue Mix by Segment (Year 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244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Segment</w:t>
            </w:r>
          </w:p>
        </w:tc>
        <w:tc>
          <w:tcPr>
            <w:tcW w:type="dxa" w:w="129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Clients</w:t>
            </w:r>
          </w:p>
        </w:tc>
        <w:tc>
          <w:tcPr>
            <w:tcW w:type="dxa" w:w="158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Avg MRR</w:t>
            </w:r>
          </w:p>
        </w:tc>
        <w:tc>
          <w:tcPr>
            <w:tcW w:type="dxa" w:w="187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Segment ARR</w:t>
            </w:r>
          </w:p>
        </w:tc>
        <w:tc>
          <w:tcPr>
            <w:tcW w:type="dxa" w:w="129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% of ARR</w:t>
            </w:r>
          </w:p>
        </w:tc>
      </w:tr>
      <w:tr>
        <w:tc>
          <w:tcPr>
            <w:tcW w:type="dxa" w:w="244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S1 (1â€“10)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15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$4,500</w:t>
            </w:r>
          </w:p>
        </w:tc>
        <w:tc>
          <w:tcPr>
            <w:tcW w:type="dxa" w:w="18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$810K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5%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S2 (10â€“50)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58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$7,500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$5.22M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34%</w:t>
            </w:r>
          </w:p>
        </w:tc>
      </w:tr>
      <w:tr>
        <w:tc>
          <w:tcPr>
            <w:tcW w:type="dxa" w:w="244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S3 (50â€“100)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38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$11,000</w:t>
            </w:r>
          </w:p>
        </w:tc>
        <w:tc>
          <w:tcPr>
            <w:tcW w:type="dxa" w:w="18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$5.02M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33%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S4 (100â€“200)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19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$17,500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$3.99M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26%</w:t>
            </w:r>
          </w:p>
        </w:tc>
      </w:tr>
      <w:tr>
        <w:tc>
          <w:tcPr>
            <w:tcW w:type="dxa" w:w="244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TOTAL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130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$9,800 avg</w:t>
            </w:r>
          </w:p>
        </w:tc>
        <w:tc>
          <w:tcPr>
            <w:tcW w:type="dxa" w:w="18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$15.3M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100%</w:t>
            </w:r>
          </w:p>
        </w:tc>
      </w:tr>
    </w:tbl>
    <w:p/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6. COMPETITIVE LANDSCAPE &amp; MARKET SHARE</w:t>
      </w:r>
    </w:p>
    <w:p>
      <w:pPr>
        <w:spacing w:after="100"/>
      </w:pPr>
      <w:r>
        <w:rPr>
          <w:i w:val="0"/>
          <w:color w:val="1A1A2E"/>
          <w:sz w:val="20"/>
        </w:rPr>
        <w:t>The B2B outsourced outbound market is highly fragmented. No single player holds &gt;5% market share. The top 10 agencies combined account for an estimated $150Mâ€“$250M ARR â€” roughly 5% of TAM. This fragmentation is the market opportunity.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72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Competitor</w:t>
            </w:r>
          </w:p>
        </w:tc>
        <w:tc>
          <w:tcPr>
            <w:tcW w:type="dxa" w:w="158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Est. ARR</w:t>
            </w:r>
          </w:p>
        </w:tc>
        <w:tc>
          <w:tcPr>
            <w:tcW w:type="dxa" w:w="201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Target Segment</w:t>
            </w:r>
          </w:p>
        </w:tc>
        <w:tc>
          <w:tcPr>
            <w:tcW w:type="dxa" w:w="158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Pricing</w:t>
            </w:r>
          </w:p>
        </w:tc>
        <w:tc>
          <w:tcPr>
            <w:tcW w:type="dxa" w:w="288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SELLL Displacement Path</w:t>
            </w:r>
          </w:p>
        </w:tc>
      </w:tr>
      <w:tr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ColdIQ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$15Mâ€“$25M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Series A+, AI-native teams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$8Kâ€“$15K/mo</w:t>
            </w:r>
          </w:p>
        </w:tc>
        <w:tc>
          <w:tcPr>
            <w:tcW w:type="dxa" w:w="288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Wins on signal intelligence; ColdIQ sends, SELLL decides who to send to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Kalungi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$8Mâ€“$12M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B2B SaaS only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$15Kâ€“$40K/mo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Lower cost, faster build, same intelligence layer</w:t>
            </w:r>
          </w:p>
        </w:tc>
      </w:tr>
      <w:tr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Belkins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$20Mâ€“$30M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Enterprise, multi-industry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$5Kâ€“$12K/mo</w:t>
            </w:r>
          </w:p>
        </w:tc>
        <w:tc>
          <w:tcPr>
            <w:tcW w:type="dxa" w:w="288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SELLL wins on AI-native signal model; Belkins is manual research-based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SaaSHero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$3Mâ€“$5M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Early-stage SaaS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$1,250/mo flat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SELLL wins on build quality and system depth; price justified by ROI</w:t>
            </w:r>
          </w:p>
        </w:tc>
      </w:tr>
      <w:tr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Pearl Lemon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$5Mâ€“$8M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UK-based, global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$2Kâ€“$6K/mo</w:t>
            </w:r>
          </w:p>
        </w:tc>
        <w:tc>
          <w:tcPr>
            <w:tcW w:type="dxa" w:w="288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SELLL wins on intelligence layer and US market depth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In-house SDR team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N/A (hiring cost)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All segments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$110Kâ€“$150K OTE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SELLL delivers same output at 48% lower cost with no ramp time</w:t>
            </w:r>
          </w:p>
        </w:tc>
      </w:tr>
    </w:tbl>
    <w:p/>
    <w:p>
      <w:pPr>
        <w:spacing w:before="200" w:after="100"/>
      </w:pPr>
      <w:r>
        <w:rPr>
          <w:b/>
          <w:color w:val="1A1A2E"/>
          <w:sz w:val="21"/>
        </w:rPr>
        <w:t>White Space Map</w:t>
      </w:r>
    </w:p>
    <w:p>
      <w:pPr>
        <w:spacing w:after="100"/>
      </w:pPr>
      <w:r>
        <w:rPr>
          <w:i w:val="0"/>
          <w:color w:val="1A1A2E"/>
          <w:sz w:val="20"/>
        </w:rPr>
        <w:t>The signal-intelligence positioning â€” trigger-based outreach vs. calendar-based sequences â€” is genuinely unoccupied. No top-5 competitor leads with this angle. The market is ready to be educated: reply rates on spray-and-pray sequences have dropped below 0.5% industrywide. Signal-triggered outreach delivers 3â€“5x the reply rate. This is the performance moat SELLL is building.</w:t>
      </w:r>
    </w:p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7. UNIT ECONOMICS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302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29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Year 1</w:t>
            </w:r>
          </w:p>
        </w:tc>
        <w:tc>
          <w:tcPr>
            <w:tcW w:type="dxa" w:w="129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Year 2</w:t>
            </w:r>
          </w:p>
        </w:tc>
        <w:tc>
          <w:tcPr>
            <w:tcW w:type="dxa" w:w="129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Year 3</w:t>
            </w:r>
          </w:p>
        </w:tc>
        <w:tc>
          <w:tcPr>
            <w:tcW w:type="dxa" w:w="403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0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Avg. MRR per client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$7,000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$8,200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$9,800</w:t>
            </w:r>
          </w:p>
        </w:tc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Upsell as system matures + segment mix shift to S3/S4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Avg. ACV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$84K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$98.4K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$117.6K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12-month contracts standard</w:t>
            </w:r>
          </w:p>
        </w:tc>
      </w:tr>
      <w:tr>
        <w:tc>
          <w:tcPr>
            <w:tcW w:type="dxa" w:w="30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CAC (cold outbound)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$3,500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$3,000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$2,800</w:t>
            </w:r>
          </w:p>
        </w:tc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Improves with brand + referrals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CAC (referral)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$1,200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$1,000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$900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20%â†’35%â†’45% of new clients</w:t>
            </w:r>
          </w:p>
        </w:tc>
      </w:tr>
      <w:tr>
        <w:tc>
          <w:tcPr>
            <w:tcW w:type="dxa" w:w="30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Blended CAC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$3,150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$2,400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$1,850</w:t>
            </w:r>
          </w:p>
        </w:tc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Referral mix improving each year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LTV (24-month avg)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$168K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$197K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$235K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Assumes 12% annual churn</w:t>
            </w:r>
          </w:p>
        </w:tc>
      </w:tr>
      <w:tr>
        <w:tc>
          <w:tcPr>
            <w:tcW w:type="dxa" w:w="30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LTV:CAC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53:1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82:1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127:1</w:t>
            </w:r>
          </w:p>
        </w:tc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Extremely strong unit economics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Gross margin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65%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70%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74%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Labor + tooling cost as % of revenue</w:t>
            </w:r>
          </w:p>
        </w:tc>
      </w:tr>
      <w:tr>
        <w:tc>
          <w:tcPr>
            <w:tcW w:type="dxa" w:w="30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Payback period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&lt;1.5 months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&lt;1 month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&lt;1 month</w:t>
            </w:r>
          </w:p>
        </w:tc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At $7K/mo, CAC recovered in 6 weeks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NRR (net revenue retention)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103%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108%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115%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Upsell + low churn</w:t>
            </w:r>
          </w:p>
        </w:tc>
      </w:tr>
    </w:tbl>
    <w:p/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8. GROWTH DRIVERS &amp; HEADWINDS</w:t>
      </w:r>
    </w:p>
    <w:p>
      <w:pPr>
        <w:spacing w:before="200" w:after="100"/>
      </w:pPr>
      <w:r>
        <w:rPr>
          <w:b/>
          <w:color w:val="1A1A2E"/>
          <w:sz w:val="21"/>
        </w:rPr>
        <w:t>Tailwinds (accelerate SELLL's market)</w:t>
      </w:r>
    </w:p>
    <w:p>
      <w:pPr>
        <w:pStyle w:val="ListBullet"/>
        <w:spacing w:after="60"/>
      </w:pPr>
      <w:r>
        <w:rPr>
          <w:color w:val="1A1A2E"/>
          <w:sz w:val="20"/>
        </w:rPr>
        <w:t>AI noise is deafening. Inboxes flood with AI-generated blasts daily. Signal-triggered, personalised outreach is the only proven way to cut through â€” buyers know the difference immediately.</w:t>
      </w:r>
    </w:p>
    <w:p>
      <w:pPr>
        <w:pStyle w:val="ListBullet"/>
        <w:spacing w:after="60"/>
      </w:pPr>
      <w:r>
        <w:rPr>
          <w:color w:val="1A1A2E"/>
          <w:sz w:val="20"/>
        </w:rPr>
        <w:t>SDR hiring costs rising. Average SDR OTE is now $75Kâ€“$95K + $50K management overhead. Payback period on in-house SDR: 9â€“18 months. SELLL's retainer delivers same output in 90 days at 48% lower cost.</w:t>
      </w:r>
    </w:p>
    <w:p>
      <w:pPr>
        <w:pStyle w:val="ListBullet"/>
        <w:spacing w:after="60"/>
      </w:pPr>
      <w:r>
        <w:rPr>
          <w:color w:val="1A1A2E"/>
          <w:sz w:val="20"/>
        </w:rPr>
        <w:t>VC/PE portfolio companies under pressure. Post-2022 funding environment demands faster ARR growth per dollar invested. SELLL's ROI math ($1 â†’ $12â€“$30 in pipeline) resonates with CFOs and investors.</w:t>
      </w:r>
    </w:p>
    <w:p>
      <w:pPr>
        <w:pStyle w:val="ListBullet"/>
        <w:spacing w:after="60"/>
      </w:pPr>
      <w:r>
        <w:rPr>
          <w:color w:val="1A1A2E"/>
          <w:sz w:val="20"/>
        </w:rPr>
        <w:t>Remote work normalised global delivery. Buyers no longer require local agency presence. SELLL can serve US clients from anywhere â€” removing the historic geographic constraint on sales capacity.</w:t>
      </w:r>
    </w:p>
    <w:p>
      <w:pPr>
        <w:pStyle w:val="ListBullet"/>
        <w:spacing w:after="60"/>
      </w:pPr>
      <w:r>
        <w:rPr>
          <w:color w:val="1A1A2E"/>
          <w:sz w:val="20"/>
        </w:rPr>
        <w:t>Apollo / Instantly democratised sending â€” saturated. Everyone sends. No one differentiates at the sequence layer. The intelligence layer (who to contact, when, and why) is the new defensible moat.</w:t>
      </w:r>
    </w:p>
    <w:p>
      <w:pPr>
        <w:pStyle w:val="ListBullet"/>
        <w:spacing w:after="60"/>
      </w:pPr>
      <w:r>
        <w:rPr>
          <w:color w:val="1A1A2E"/>
          <w:sz w:val="20"/>
        </w:rPr>
        <w:t>SaaS funding wave created 50K+ new B2B companies. Post-2020 funding activity flooded the market with 10â€“100 employee B2B SaaS companies â€” SELLL's sweet spot â€” needing their first outbound system.</w:t>
      </w:r>
    </w:p>
    <w:p>
      <w:pPr>
        <w:spacing w:before="200" w:after="100"/>
      </w:pPr>
      <w:r>
        <w:rPr>
          <w:b/>
          <w:color w:val="1A1A2E"/>
          <w:sz w:val="21"/>
        </w:rPr>
        <w:t>Headwinds (risks to monitor)</w:t>
      </w:r>
    </w:p>
    <w:p>
      <w:pPr>
        <w:pStyle w:val="ListBullet"/>
        <w:spacing w:after="60"/>
      </w:pPr>
      <w:r>
        <w:rPr>
          <w:color w:val="1A1A2E"/>
          <w:sz w:val="20"/>
        </w:rPr>
        <w:t>Email deliverability degradation. Gmail and Outlook tightening spam filters in 2024â€“2025. Requires domain health management and volume discipline â€” SELLL must own deliverability as a core competency.</w:t>
      </w:r>
    </w:p>
    <w:p>
      <w:pPr>
        <w:pStyle w:val="ListBullet"/>
        <w:spacing w:after="60"/>
      </w:pPr>
      <w:r>
        <w:rPr>
          <w:color w:val="1A1A2E"/>
          <w:sz w:val="20"/>
        </w:rPr>
        <w:t>Market education cost. Signal-triggered intelligence is a new concept. Buyers default to 'we just need better emails.' SELLL must sell the category before selling the product.</w:t>
      </w:r>
    </w:p>
    <w:p>
      <w:pPr>
        <w:pStyle w:val="ListBullet"/>
        <w:spacing w:after="60"/>
      </w:pPr>
      <w:r>
        <w:rPr>
          <w:color w:val="1A1A2E"/>
          <w:sz w:val="20"/>
        </w:rPr>
        <w:t>Competitor convergence. ColdIQ and Belkins are adding 'signal' language to their marketing. True differentiation requires product depth and proof â€” not just positioning language.</w:t>
      </w:r>
    </w:p>
    <w:p>
      <w:pPr>
        <w:pStyle w:val="ListBullet"/>
        <w:spacing w:after="60"/>
      </w:pPr>
      <w:r>
        <w:rPr>
          <w:color w:val="1A1A2E"/>
          <w:sz w:val="20"/>
        </w:rPr>
        <w:t>Churn risk at small segment (S1). Solo founders and sub-10 companies churn faster when pipeline takes more than 60 days to show results. Segment requires careful expectation-setting at onboarding.</w:t>
      </w:r>
    </w:p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9. MARKET ENTRY SEQUENCING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244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172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Timeframe</w:t>
            </w:r>
          </w:p>
        </w:tc>
        <w:tc>
          <w:tcPr>
            <w:tcW w:type="dxa" w:w="216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Segment Focus</w:t>
            </w:r>
          </w:p>
        </w:tc>
        <w:tc>
          <w:tcPr>
            <w:tcW w:type="dxa" w:w="144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Target ARR</w:t>
            </w:r>
          </w:p>
        </w:tc>
        <w:tc>
          <w:tcPr>
            <w:tcW w:type="dxa" w:w="316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Primary GTM Lever</w:t>
            </w:r>
          </w:p>
        </w:tc>
      </w:tr>
      <w:tr>
        <w:tc>
          <w:tcPr>
            <w:tcW w:type="dxa" w:w="244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Phase 1 â€” Prove the System</w:t>
            </w:r>
          </w:p>
        </w:tc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Months 1â€“6</w:t>
            </w:r>
          </w:p>
        </w:tc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S2 (10â€“50, no sales function)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$500Kâ€“$1M</w:t>
            </w:r>
          </w:p>
        </w:tc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Founder outbound, 3 signal sequences, referral capture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Phase 2 â€” Build the Brand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Months 7â€“18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S2 primary, S3 expansion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$1Mâ€“$5M</w:t>
            </w:r>
          </w:p>
        </w:tc>
        <w:tc>
          <w:tcPr>
            <w:tcW w:type="dxa" w:w="31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Case studies, LinkedIn content, referral program launch</w:t>
            </w:r>
          </w:p>
        </w:tc>
      </w:tr>
      <w:tr>
        <w:tc>
          <w:tcPr>
            <w:tcW w:type="dxa" w:w="244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Phase 3 â€” Scale the Engine</w:t>
            </w:r>
          </w:p>
        </w:tc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Months 19â€“36</w:t>
            </w:r>
          </w:p>
        </w:tc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S3 + S4 primary</w:t>
            </w:r>
          </w:p>
        </w:tc>
        <w:tc>
          <w:tcPr>
            <w:tcW w:type="dxa" w:w="144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$5Mâ€“$15M</w:t>
            </w:r>
          </w:p>
        </w:tc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First sales hire, partner channel, inbound + PLG motion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Phase 4 â€” Market Leadership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Year 4â€“5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All segments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$15Mâ€“$42M</w:t>
            </w:r>
          </w:p>
        </w:tc>
        <w:tc>
          <w:tcPr>
            <w:tcW w:type="dxa" w:w="31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Product-led growth, API layer, channel partnerships</w:t>
            </w:r>
          </w:p>
        </w:tc>
      </w:tr>
    </w:tbl>
    <w:p/>
    <w:p>
      <w:pPr>
        <w:spacing w:before="200" w:after="100"/>
      </w:pPr>
      <w:r>
        <w:rPr>
          <w:b/>
          <w:color w:val="1A1A2E"/>
          <w:sz w:val="21"/>
        </w:rPr>
        <w:t>Priority Verticals by Phase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72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288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Lead Vertical</w:t>
            </w:r>
          </w:p>
        </w:tc>
        <w:tc>
          <w:tcPr>
            <w:tcW w:type="dxa" w:w="489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Phase 1</w:t>
            </w:r>
          </w:p>
        </w:tc>
        <w:tc>
          <w:tcPr>
            <w:tcW w:type="dxa" w:w="288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B2B SaaS (10â€“50)</w:t>
            </w:r>
          </w:p>
        </w:tc>
        <w:tc>
          <w:tcPr>
            <w:tcW w:type="dxa" w:w="48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Fastest to close, clearest ROI math, highest referral rate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Phase 2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Tech-enabled services</w:t>
            </w:r>
          </w:p>
        </w:tc>
        <w:tc>
          <w:tcPr>
            <w:tcW w:type="dxa" w:w="48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MagmaLabs profile â€” referral-dependent, high willingness-to-pay</w:t>
            </w:r>
          </w:p>
        </w:tc>
      </w:tr>
      <w:tr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Phase 3</w:t>
            </w:r>
          </w:p>
        </w:tc>
        <w:tc>
          <w:tcPr>
            <w:tcW w:type="dxa" w:w="288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DevTools + MarTech</w:t>
            </w:r>
          </w:p>
        </w:tc>
        <w:tc>
          <w:tcPr>
            <w:tcW w:type="dxa" w:w="48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Signal density highest; PLG-to-enterprise gap story is compelling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Phase 4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HR Tech + FinTech</w:t>
            </w:r>
          </w:p>
        </w:tc>
        <w:tc>
          <w:tcPr>
            <w:tcW w:type="dxa" w:w="48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Higher ACV justifies longer sales cycle; brand established</w:t>
            </w:r>
          </w:p>
        </w:tc>
      </w:tr>
    </w:tbl>
    <w:p/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10. KEY ASSUMPTIONS &amp; SENSITIVITY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331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Assumption</w:t>
            </w:r>
          </w:p>
        </w:tc>
        <w:tc>
          <w:tcPr>
            <w:tcW w:type="dxa" w:w="172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Base Case</w:t>
            </w:r>
          </w:p>
        </w:tc>
        <w:tc>
          <w:tcPr>
            <w:tcW w:type="dxa" w:w="172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Bull Case</w:t>
            </w:r>
          </w:p>
        </w:tc>
        <w:tc>
          <w:tcPr>
            <w:tcW w:type="dxa" w:w="172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Bear Case</w:t>
            </w:r>
          </w:p>
        </w:tc>
      </w:tr>
      <w:tr>
        <w:tc>
          <w:tcPr>
            <w:tcW w:type="dxa" w:w="331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Avg. MRR per client (Y3)</w:t>
            </w:r>
          </w:p>
        </w:tc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$9,800</w:t>
            </w:r>
          </w:p>
        </w:tc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$12,500</w:t>
            </w:r>
          </w:p>
        </w:tc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$7,200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Annual churn rate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12%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8%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20%</w:t>
            </w:r>
          </w:p>
        </w:tc>
      </w:tr>
      <w:tr>
        <w:tc>
          <w:tcPr>
            <w:tcW w:type="dxa" w:w="331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New clients / month (Y3)</w:t>
            </w:r>
          </w:p>
        </w:tc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5</w:t>
            </w:r>
          </w:p>
        </w:tc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8</w:t>
            </w:r>
          </w:p>
        </w:tc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3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Referral mix by Y2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35%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50%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15%</w:t>
            </w:r>
          </w:p>
        </w:tc>
      </w:tr>
      <w:tr>
        <w:tc>
          <w:tcPr>
            <w:tcW w:type="dxa" w:w="331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Market growth rate</w:t>
            </w:r>
          </w:p>
        </w:tc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10.3%</w:t>
            </w:r>
          </w:p>
        </w:tc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13%</w:t>
            </w:r>
          </w:p>
        </w:tc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7%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CAC blended (Y2)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$2,400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$1,800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$3,500</w:t>
            </w:r>
          </w:p>
        </w:tc>
      </w:tr>
      <w:tr>
        <w:tc>
          <w:tcPr>
            <w:tcW w:type="dxa" w:w="331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Gross margin (Y3)</w:t>
            </w:r>
          </w:p>
        </w:tc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74%</w:t>
            </w:r>
          </w:p>
        </w:tc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78%</w:t>
            </w:r>
          </w:p>
        </w:tc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62%</w:t>
            </w:r>
          </w:p>
        </w:tc>
      </w:tr>
    </w:tbl>
    <w:p/>
    <w:p>
      <w:pPr>
        <w:spacing w:before="200" w:after="100"/>
      </w:pPr>
      <w:r>
        <w:rPr>
          <w:b/>
          <w:color w:val="1A1A2E"/>
          <w:sz w:val="21"/>
        </w:rPr>
        <w:t>Revenue Sensitivity (Year 3 ARR)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345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58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ARR</w:t>
            </w:r>
          </w:p>
        </w:tc>
        <w:tc>
          <w:tcPr>
            <w:tcW w:type="dxa" w:w="129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Clients</w:t>
            </w:r>
          </w:p>
        </w:tc>
        <w:tc>
          <w:tcPr>
            <w:tcW w:type="dxa" w:w="460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45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Bull (high retention + high upsell)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$22.5M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145</w:t>
            </w:r>
          </w:p>
        </w:tc>
        <w:tc>
          <w:tcPr>
            <w:tcW w:type="dxa" w:w="460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Referral mix at 50%, churn at 8%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Base (model assumptions)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$15.3M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130</w:t>
            </w:r>
          </w:p>
        </w:tc>
        <w:tc>
          <w:tcPr>
            <w:tcW w:type="dxa" w:w="460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As modelled above</w:t>
            </w:r>
          </w:p>
        </w:tc>
      </w:tr>
      <w:tr>
        <w:tc>
          <w:tcPr>
            <w:tcW w:type="dxa" w:w="345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Bear (high churn + slower growth)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$8.1M</w:t>
            </w:r>
          </w:p>
        </w:tc>
        <w:tc>
          <w:tcPr>
            <w:tcW w:type="dxa" w:w="129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95</w:t>
            </w:r>
          </w:p>
        </w:tc>
        <w:tc>
          <w:tcPr>
            <w:tcW w:type="dxa" w:w="460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Churn 20%, slower S3/S4 entry</w:t>
            </w:r>
          </w:p>
        </w:tc>
      </w:tr>
    </w:tbl>
    <w:p/>
    <w:p/>
    <w:p>
      <w:pPr>
        <w:jc w:val="center"/>
      </w:pPr>
      <w:r>
        <w:rPr>
          <w:i/>
          <w:color w:val="888888"/>
          <w:sz w:val="16"/>
        </w:rPr>
        <w:t>SELLL Revenue Engine  Â·  TAM Analysis  Â·  June 2026  Â·  Confidential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