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43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l_log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A1A2E"/>
          <w:sz w:val="44"/>
        </w:rPr>
        <w:t>Total Addressable Market Analysis</w:t>
      </w:r>
    </w:p>
    <w:p>
      <w:pPr>
        <w:jc w:val="center"/>
      </w:pPr>
      <w:r>
        <w:rPr>
          <w:i/>
          <w:color w:val="E8B830"/>
          <w:sz w:val="22"/>
        </w:rPr>
        <w:t>B2B Outbound Sales Intelligence &amp; SDR Services  |  SELLL.io</w:t>
      </w:r>
    </w:p>
    <w:p>
      <w:pPr>
        <w:spacing w:before="120"/>
        <w:jc w:val="center"/>
      </w:pPr>
      <w:r>
        <w:rPr>
          <w:color w:val="888888"/>
          <w:sz w:val="18"/>
        </w:rPr>
        <w:t>Generated: June 2026  |  Confidential - Investor &amp; Strategy Use</w:t>
      </w:r>
    </w:p>
    <w:p/>
    <w:p>
      <w:pPr>
        <w:spacing w:before="320" w:after="100"/>
        <w:pBdr>
          <w:bottom w:val="single" w:sz="6" w:space="3" w:color="E8B830"/>
        </w:pBdr>
      </w:pPr>
      <w:r>
        <w:rPr>
          <w:b/>
          <w:color w:val="E8B830"/>
          <w:sz w:val="24"/>
        </w:rPr>
        <w:t>1. EXECUTIVE SUMMARY</w:t>
      </w:r>
    </w:p>
    <w:p>
      <w:pPr>
        <w:spacing w:after="100"/>
      </w:pPr>
      <w:r>
        <w:rPr>
          <w:i w:val="0"/>
          <w:color w:val="1A1A2E"/>
          <w:sz w:val="20"/>
        </w:rPr>
        <w:t>SELLL operates at the intersection of three converging markets: B2B outsourced sales development ($4.8B), AI-powered sales tools ($6.2B), and GTM consulting/agency services ($18B+). The narrow TAM is $4.8B globally, growing at 10.3% CAGR to $8.9B by 2030.</w:t>
      </w:r>
    </w:p>
    <w:p>
      <w:pPr>
        <w:spacing w:after="100"/>
      </w:pPr>
      <w:r>
        <w:rPr>
          <w:i w:val="0"/>
          <w:color w:val="1A1A2E"/>
          <w:sz w:val="20"/>
        </w:rPr>
        <w:t>The Serviceable Addressable Market (SELLL's geographic + segment window) is $1.68B. SELLL's signal-intelligence positioning occupies a white space estimated at $450M-$750M where no competitor currently holds dominant share.</w:t>
      </w:r>
    </w:p>
    <w:p>
      <w:pPr>
        <w:spacing w:after="100"/>
      </w:pPr>
      <w:r>
        <w:rPr>
          <w:i w:val="0"/>
          <w:color w:val="1A1A2E"/>
          <w:sz w:val="20"/>
        </w:rPr>
        <w:t>The Serviceable Obtainable Market: $1.68M ARR (Year 1) -&gt; $15.3M ARR (Year 3) -&gt; $42M ARR (Year 5), representing 0.1-2.5% of SAM.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6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5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331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TAM (narrow)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$4.8B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2024</w:t>
            </w:r>
          </w:p>
        </w:tc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Global B2B outsourced SDR / outbound sales development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TAM (broad)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$18B+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2024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Includes GTM consulting, fractional CRO, revenue agencies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TAM CAGR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10.3%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2024-2030</w:t>
            </w:r>
          </w:p>
        </w:tc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Driven by AI adoption + SDR hiring cost inflation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SAM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$1.68B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2024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US/UK/CA/AUS - 10-200 employees - B2B - $3K+/mo budget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Signal-intelligence white space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$450M-$750M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2024</w:t>
            </w:r>
          </w:p>
        </w:tc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SELLL's category - no dominant player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SOM Year 1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$1.68M ARR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EOY 2025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20 clients at avg $7K/mo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SOM Year 3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$15.3M ARR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EOY 2027</w:t>
            </w:r>
          </w:p>
        </w:tc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~130 clients at avg $9,800/mo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SOM Year 5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$42.0M ARR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EOY 2029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~330 clients at avg $10,600/mo</w:t>
            </w:r>
          </w:p>
        </w:tc>
      </w:tr>
    </w:tbl>
    <w:p/>
    <w:p>
      <w:pPr>
        <w:spacing w:before="320" w:after="100"/>
        <w:pBdr>
          <w:bottom w:val="single" w:sz="6" w:space="3" w:color="E8B830"/>
        </w:pBdr>
      </w:pPr>
      <w:r>
        <w:rPr>
          <w:b/>
          <w:color w:val="E8B830"/>
          <w:sz w:val="24"/>
        </w:rPr>
        <w:t>2. MARKET DEFINITION</w:t>
      </w:r>
    </w:p>
    <w:p>
      <w:pPr>
        <w:spacing w:after="100"/>
      </w:pPr>
      <w:r>
        <w:rPr>
          <w:i w:val="0"/>
          <w:color w:val="1A1A2E"/>
          <w:sz w:val="20"/>
        </w:rPr>
        <w:t>SELLL sits in the B2B outsourced outbound sales development market, defined as: recurring retainer services where the provider owns the prospecting, sequencing, signal intelligence, and pipeline generation motion for the client.</w:t>
      </w:r>
    </w:p>
    <w:p>
      <w:pPr>
        <w:spacing w:before="200" w:after="80"/>
      </w:pPr>
      <w:r>
        <w:rPr>
          <w:b/>
          <w:color w:val="1A1A2E"/>
          <w:sz w:val="21"/>
        </w:rPr>
        <w:t>Market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Size (2024)</w:t>
            </w:r>
          </w:p>
        </w:tc>
        <w:tc>
          <w:tcPr>
            <w:tcW w:type="dxa" w:w="316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SELLL Relevance</w:t>
            </w:r>
          </w:p>
        </w:tc>
      </w:tr>
      <w:tr>
        <w:tc>
          <w:tcPr>
            <w:tcW w:type="dxa" w:w="115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Core</w:t>
            </w:r>
          </w:p>
        </w:tc>
        <w:tc>
          <w:tcPr>
            <w:tcW w:type="dxa" w:w="345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B2B outsourced SDR / BDR services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$4.8B</w:t>
            </w:r>
          </w:p>
        </w:tc>
        <w:tc>
          <w:tcPr>
            <w:tcW w:type="dxa" w:w="316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Primary market - direct competition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Adjacent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AI sales tools (automation, enrichment)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$6.2B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Tooling layer SELLL orchestrates above</w:t>
            </w:r>
          </w:p>
        </w:tc>
      </w:tr>
      <w:tr>
        <w:tc>
          <w:tcPr>
            <w:tcW w:type="dxa" w:w="115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Adjacent</w:t>
            </w:r>
          </w:p>
        </w:tc>
        <w:tc>
          <w:tcPr>
            <w:tcW w:type="dxa" w:w="345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GTM consulting / fractional CRO / agencies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$18B+</w:t>
            </w:r>
          </w:p>
        </w:tc>
        <w:tc>
          <w:tcPr>
            <w:tcW w:type="dxa" w:w="316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Partial overlap - premium segment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Emerging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AI signal-triggered outbound intelligence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~$400M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SELLL's specific white space - underdeveloped</w:t>
            </w:r>
          </w:p>
        </w:tc>
      </w:tr>
    </w:tbl>
    <w:p/>
    <w:p>
      <w:pPr>
        <w:spacing w:before="200" w:after="80"/>
      </w:pPr>
      <w:r>
        <w:rPr>
          <w:b/>
          <w:color w:val="1A1A2E"/>
          <w:sz w:val="21"/>
        </w:rPr>
        <w:t>Why Signal-Triggered Intelligence is a White Space</w:t>
      </w:r>
    </w:p>
    <w:p>
      <w:pPr>
        <w:pStyle w:val="ListBullet"/>
        <w:spacing w:after="60"/>
      </w:pPr>
      <w:r>
        <w:rPr>
          <w:color w:val="1A1A2E"/>
          <w:sz w:val="20"/>
        </w:rPr>
        <w:t>Apollo / Instantly / Lemlist = email execution. They send sequences. They do not decide WHO to send to or WHEN based on real-time trigger events.</w:t>
      </w:r>
    </w:p>
    <w:p>
      <w:pPr>
        <w:pStyle w:val="ListBullet"/>
        <w:spacing w:after="60"/>
      </w:pPr>
      <w:r>
        <w:rPr>
          <w:color w:val="1A1A2E"/>
          <w:sz w:val="20"/>
        </w:rPr>
        <w:t>Agencies (ColdIQ, Kalungi, Belkins) = human-built outbound. They write good emails. They do not monitor the market for buying signals in real time.</w:t>
      </w:r>
    </w:p>
    <w:p>
      <w:pPr>
        <w:pStyle w:val="ListBullet"/>
        <w:spacing w:after="60"/>
      </w:pPr>
      <w:r>
        <w:rPr>
          <w:color w:val="1A1A2E"/>
          <w:sz w:val="20"/>
        </w:rPr>
        <w:t>RevOps consultants = stack optimisers. They wire the tools. They do not own the ongoing motion.</w:t>
      </w:r>
    </w:p>
    <w:p>
      <w:pPr>
        <w:pStyle w:val="ListBullet"/>
        <w:spacing w:after="60"/>
      </w:pPr>
      <w:r>
        <w:rPr>
          <w:color w:val="1A1A2E"/>
          <w:sz w:val="20"/>
        </w:rPr>
        <w:t>SELLL = the only model combining signal intelligence + automated sequencing + ongoing system ownership under one retainer.</w:t>
      </w:r>
    </w:p>
    <w:p>
      <w:pPr>
        <w:spacing w:before="320" w:after="100"/>
        <w:pBdr>
          <w:bottom w:val="single" w:sz="6" w:space="3" w:color="E8B830"/>
        </w:pBdr>
      </w:pPr>
      <w:r>
        <w:rPr>
          <w:b/>
          <w:color w:val="E8B830"/>
          <w:sz w:val="24"/>
        </w:rPr>
        <w:t>3. TAM - TOTAL ADDRESSABLE MARKET</w:t>
      </w:r>
    </w:p>
    <w:p>
      <w:pPr>
        <w:spacing w:before="200" w:after="80"/>
      </w:pPr>
      <w:r>
        <w:rPr>
          <w:b/>
          <w:color w:val="1A1A2E"/>
          <w:sz w:val="21"/>
        </w:rPr>
        <w:t>Top-Down Approach</w:t>
      </w:r>
    </w:p>
    <w:p>
      <w:pPr>
        <w:spacing w:after="100"/>
      </w:pPr>
      <w:r>
        <w:rPr>
          <w:i w:val="0"/>
          <w:color w:val="1A1A2E"/>
          <w:sz w:val="20"/>
        </w:rPr>
        <w:t>Source: Grand View Research, Technavio B2B Sales Outsourcing Market Analysis (2024)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01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Market Size</w:t>
            </w:r>
          </w:p>
        </w:tc>
        <w:tc>
          <w:tcPr>
            <w:tcW w:type="dxa" w:w="201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YoY Growth</w:t>
            </w:r>
          </w:p>
        </w:tc>
      </w:tr>
      <w:tr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2022</w:t>
            </w:r>
          </w:p>
        </w:tc>
        <w:tc>
          <w:tcPr>
            <w:tcW w:type="dxa" w:w="201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$4.0B</w:t>
            </w:r>
          </w:p>
        </w:tc>
        <w:tc>
          <w:tcPr>
            <w:tcW w:type="dxa" w:w="201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-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2023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$4.3B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+7.5%</w:t>
            </w:r>
          </w:p>
        </w:tc>
      </w:tr>
      <w:tr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2024</w:t>
            </w:r>
          </w:p>
        </w:tc>
        <w:tc>
          <w:tcPr>
            <w:tcW w:type="dxa" w:w="201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$4.8B</w:t>
            </w:r>
          </w:p>
        </w:tc>
        <w:tc>
          <w:tcPr>
            <w:tcW w:type="dxa" w:w="201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+11.6%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2025 (est.)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$5.3B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~10.2%</w:t>
            </w:r>
          </w:p>
        </w:tc>
      </w:tr>
      <w:tr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2026 (est.)</w:t>
            </w:r>
          </w:p>
        </w:tc>
        <w:tc>
          <w:tcPr>
            <w:tcW w:type="dxa" w:w="201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$5.85B</w:t>
            </w:r>
          </w:p>
        </w:tc>
        <w:tc>
          <w:tcPr>
            <w:tcW w:type="dxa" w:w="201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~10.4%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2028 (est.)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$7.1B</w:t>
            </w:r>
          </w:p>
        </w:tc>
        <w:tc>
          <w:tcPr>
            <w:tcW w:type="dxa" w:w="201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~10.3%</w:t>
            </w:r>
          </w:p>
        </w:tc>
      </w:tr>
      <w:tr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2030 (est.)</w:t>
            </w:r>
          </w:p>
        </w:tc>
        <w:tc>
          <w:tcPr>
            <w:tcW w:type="dxa" w:w="201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$8.9B</w:t>
            </w:r>
          </w:p>
        </w:tc>
        <w:tc>
          <w:tcPr>
            <w:tcW w:type="dxa" w:w="201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~10.3%</w:t>
            </w:r>
          </w:p>
        </w:tc>
      </w:tr>
    </w:tbl>
    <w:p/>
    <w:p>
      <w:pPr>
        <w:spacing w:before="200" w:after="80"/>
      </w:pPr>
      <w:r>
        <w:rPr>
          <w:b/>
          <w:color w:val="1A1A2E"/>
          <w:sz w:val="21"/>
        </w:rPr>
        <w:t>Bottom-Up Approach (US Primary Market)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03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Companies Remaining</w:t>
            </w:r>
          </w:p>
        </w:tc>
        <w:tc>
          <w:tcPr>
            <w:tcW w:type="dxa" w:w="331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Assumption</w:t>
            </w:r>
          </w:p>
        </w:tc>
      </w:tr>
      <w:tr>
        <w:tc>
          <w:tcPr>
            <w:tcW w:type="dxa" w:w="403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US B2B companies total</w:t>
            </w:r>
          </w:p>
        </w:tc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~5,000,000</w:t>
            </w:r>
          </w:p>
        </w:tc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SBA / Census data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10-200 employees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~480,000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~9.6% of total B2B</w:t>
            </w:r>
          </w:p>
        </w:tc>
      </w:tr>
      <w:tr>
        <w:tc>
          <w:tcPr>
            <w:tcW w:type="dxa" w:w="403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B2B with outbound-compatible model</w:t>
            </w:r>
          </w:p>
        </w:tc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~192,000</w:t>
            </w:r>
          </w:p>
        </w:tc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~40% of 10-200 band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ACV &gt;$5K (outbound CAC justifiable)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~115,200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~60% of above</w:t>
            </w:r>
          </w:p>
        </w:tc>
      </w:tr>
      <w:tr>
        <w:tc>
          <w:tcPr>
            <w:tcW w:type="dxa" w:w="403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No full in-house SDR or enterprise RevOps</w:t>
            </w:r>
          </w:p>
        </w:tc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~69,120</w:t>
            </w:r>
          </w:p>
        </w:tc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~60% of above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Willing to outsource vs. build in-house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~34,560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~50% of above</w:t>
            </w:r>
          </w:p>
        </w:tc>
      </w:tr>
      <w:tr>
        <w:tc>
          <w:tcPr>
            <w:tcW w:type="dxa" w:w="403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Addressable US companies</w:t>
            </w:r>
          </w:p>
        </w:tc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~34,500</w:t>
            </w:r>
          </w:p>
        </w:tc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-</w:t>
            </w:r>
          </w:p>
        </w:tc>
      </w:tr>
    </w:tbl>
    <w:p/>
    <w:p>
      <w:pPr>
        <w:spacing w:after="100"/>
      </w:pPr>
      <w:r>
        <w:rPr>
          <w:i w:val="0"/>
          <w:color w:val="1A1A2E"/>
          <w:sz w:val="20"/>
        </w:rPr>
        <w:t>34,500 x $84K avg ACV = $2.9B US-only bottom-up TAM. UK/CA/AUS adds ~65% of US volume (~$1.9B). Combined English-market bottom-up TAM: ~$4.8B - confirms top-down figure.</w:t>
      </w:r>
    </w:p>
    <w:p>
      <w:pPr>
        <w:spacing w:before="320" w:after="100"/>
        <w:pBdr>
          <w:bottom w:val="single" w:sz="6" w:space="3" w:color="E8B830"/>
        </w:pBdr>
      </w:pPr>
      <w:r>
        <w:rPr>
          <w:b/>
          <w:color w:val="E8B830"/>
          <w:sz w:val="24"/>
        </w:rPr>
        <w:t>4. SAM - SERVICEABLE ADDRESSABLE 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03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SAM Filter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Reduction Factor</w:t>
            </w:r>
          </w:p>
        </w:tc>
        <w:tc>
          <w:tcPr>
            <w:tcW w:type="dxa" w:w="360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403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English-first geographies (US/UK/CA/AUS)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35% of global TAM</w:t>
            </w:r>
          </w:p>
        </w:tc>
        <w:tc>
          <w:tcPr>
            <w:tcW w:type="dxa" w:w="360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Sequences are English-native; culture-specific personalisation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Segment fit (10-200 employees, B2B)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60% of geographic subset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Minimum budget + maximum buying speed window</w:t>
            </w:r>
          </w:p>
        </w:tc>
      </w:tr>
      <w:tr>
        <w:tc>
          <w:tcPr>
            <w:tcW w:type="dxa" w:w="403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Pricing fit ($3K-$15K/month retainer)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55% of segment fit</w:t>
            </w:r>
          </w:p>
        </w:tc>
        <w:tc>
          <w:tcPr>
            <w:tcW w:type="dxa" w:w="360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Companies budgeting &gt;$36K/year for outbound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No full enterprise RevOps stack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70% of pricing fit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Excludes Salesforce+Outreach+internal team companies</w:t>
            </w:r>
          </w:p>
        </w:tc>
      </w:tr>
    </w:tbl>
    <w:p/>
    <w:p>
      <w:pPr>
        <w:spacing w:after="100"/>
      </w:pPr>
      <w:r>
        <w:rPr>
          <w:i w:val="0"/>
          <w:color w:val="1A1A2E"/>
          <w:sz w:val="20"/>
        </w:rPr>
        <w:t>SAM: $4.8B x 35% x 60% x 55% x 70% = $387M (narrow). Blended with GTM services TAM ($18B): $1.68B.</w:t>
      </w:r>
    </w:p>
    <w:p>
      <w:pPr>
        <w:spacing w:before="200" w:after="80"/>
      </w:pPr>
      <w:r>
        <w:rPr>
          <w:b/>
          <w:color w:val="1A1A2E"/>
          <w:sz w:val="21"/>
        </w:rPr>
        <w:t>SAM by Segment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59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29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of SAM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SAM Value</w:t>
            </w:r>
          </w:p>
        </w:tc>
        <w:tc>
          <w:tcPr>
            <w:tcW w:type="dxa" w:w="15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Avg. ACV</w:t>
            </w:r>
          </w:p>
        </w:tc>
        <w:tc>
          <w:tcPr>
            <w:tcW w:type="dxa" w:w="259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Addressable Companies</w:t>
            </w:r>
          </w:p>
        </w:tc>
      </w:tr>
      <w:tr>
        <w:tc>
          <w:tcPr>
            <w:tcW w:type="dxa" w:w="259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S1 Solo / 1-10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8%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$134M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$48K/yr</w:t>
            </w:r>
          </w:p>
        </w:tc>
        <w:tc>
          <w:tcPr>
            <w:tcW w:type="dxa" w:w="259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~2,800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S2 Growth / 10-50 (no sales)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38%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$638M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$84K/yr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~7,600</w:t>
            </w:r>
          </w:p>
        </w:tc>
      </w:tr>
      <w:tr>
        <w:tc>
          <w:tcPr>
            <w:tcW w:type="dxa" w:w="259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S3 SMB / 50-100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32%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$538M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$120K/yr</w:t>
            </w:r>
          </w:p>
        </w:tc>
        <w:tc>
          <w:tcPr>
            <w:tcW w:type="dxa" w:w="259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~4,500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S4 Mid-market / 100-200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22%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$370M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$168K/yr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~2,200</w:t>
            </w:r>
          </w:p>
        </w:tc>
      </w:tr>
      <w:tr>
        <w:tc>
          <w:tcPr>
            <w:tcW w:type="dxa" w:w="259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TOTAL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100%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$1.68B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$105K avg</w:t>
            </w:r>
          </w:p>
        </w:tc>
        <w:tc>
          <w:tcPr>
            <w:tcW w:type="dxa" w:w="259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~17,100</w:t>
            </w:r>
          </w:p>
        </w:tc>
      </w:tr>
    </w:tbl>
    <w:p/>
    <w:p>
      <w:pPr>
        <w:spacing w:before="200" w:after="80"/>
      </w:pPr>
      <w:r>
        <w:rPr>
          <w:b/>
          <w:color w:val="1A1A2E"/>
          <w:sz w:val="21"/>
        </w:rPr>
        <w:t>SAM by Geography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of SAM</w:t>
            </w:r>
          </w:p>
        </w:tc>
        <w:tc>
          <w:tcPr>
            <w:tcW w:type="dxa" w:w="15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SAM Value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Verticals</w:t>
            </w:r>
          </w:p>
        </w:tc>
      </w:tr>
      <w:tr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United States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65%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$1.09B</w:t>
            </w:r>
          </w:p>
        </w:tc>
        <w:tc>
          <w:tcPr>
            <w:tcW w:type="dxa" w:w="432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B2B SaaS, DevTools, MarTech, Services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United Kingdom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15%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$252M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FinTech, SaaS, Professional Services</w:t>
            </w:r>
          </w:p>
        </w:tc>
      </w:tr>
      <w:tr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Canada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12%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$202M</w:t>
            </w:r>
          </w:p>
        </w:tc>
        <w:tc>
          <w:tcPr>
            <w:tcW w:type="dxa" w:w="432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SaaS, FinTech, Tech Services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Australia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8%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$134M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SaaS, PropTech, Professional Services</w:t>
            </w:r>
          </w:p>
        </w:tc>
      </w:tr>
    </w:tbl>
    <w:p/>
    <w:p>
      <w:pPr>
        <w:spacing w:before="200" w:after="80"/>
      </w:pPr>
      <w:r>
        <w:rPr>
          <w:b/>
          <w:color w:val="1A1A2E"/>
          <w:sz w:val="21"/>
        </w:rPr>
        <w:t>SAM by Vertical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Vertical</w:t>
            </w:r>
          </w:p>
        </w:tc>
        <w:tc>
          <w:tcPr>
            <w:tcW w:type="dxa" w:w="129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of SAM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SAM Value</w:t>
            </w:r>
          </w:p>
        </w:tc>
        <w:tc>
          <w:tcPr>
            <w:tcW w:type="dxa" w:w="417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Why Indexed High</w:t>
            </w:r>
          </w:p>
        </w:tc>
      </w:tr>
      <w:tr>
        <w:tc>
          <w:tcPr>
            <w:tcW w:type="dxa" w:w="259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B2B SaaS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40%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$672M</w:t>
            </w:r>
          </w:p>
        </w:tc>
        <w:tc>
          <w:tcPr>
            <w:tcW w:type="dxa" w:w="417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Highest pipeline awareness; monthly budget; referral ceiling obvious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Tech-enabled services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25%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$420M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Referral-dependent; founder-bottlenecked; high urgency</w:t>
            </w:r>
          </w:p>
        </w:tc>
      </w:tr>
      <w:tr>
        <w:tc>
          <w:tcPr>
            <w:tcW w:type="dxa" w:w="259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DevTools / API / Infra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15%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$252M</w:t>
            </w:r>
          </w:p>
        </w:tc>
        <w:tc>
          <w:tcPr>
            <w:tcW w:type="dxa" w:w="417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PLG-to-enterprise gap; VP Sales hire = entry signal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MarTech / SalesTech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12%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$202M</w:t>
            </w:r>
          </w:p>
        </w:tc>
        <w:tc>
          <w:tcPr>
            <w:tcW w:type="dxa" w:w="417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Know what good looks like; most motivated buyer</w:t>
            </w:r>
          </w:p>
        </w:tc>
      </w:tr>
      <w:tr>
        <w:tc>
          <w:tcPr>
            <w:tcW w:type="dxa" w:w="259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HR Tech / FinTech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8%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$134M</w:t>
            </w:r>
          </w:p>
        </w:tc>
        <w:tc>
          <w:tcPr>
            <w:tcW w:type="dxa" w:w="417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Higher ACV; longer cycles; secondary vertical</w:t>
            </w:r>
          </w:p>
        </w:tc>
      </w:tr>
    </w:tbl>
    <w:p/>
    <w:p>
      <w:pPr>
        <w:spacing w:before="320" w:after="100"/>
        <w:pBdr>
          <w:bottom w:val="single" w:sz="6" w:space="3" w:color="E8B830"/>
        </w:pBdr>
      </w:pPr>
      <w:r>
        <w:rPr>
          <w:b/>
          <w:color w:val="E8B830"/>
          <w:sz w:val="24"/>
        </w:rPr>
        <w:t>5. SOM - SERVICEABLE OBTAINABLE MARKET (5-YEAR)</w:t>
      </w:r>
    </w:p>
    <w:p>
      <w:pPr>
        <w:spacing w:after="100"/>
      </w:pPr>
      <w:r>
        <w:rPr>
          <w:i w:val="0"/>
          <w:color w:val="1A1A2E"/>
          <w:sz w:val="20"/>
        </w:rPr>
        <w:t>Assumptions: Aaron handles all sales in Year 1. First sales hire Month 13. Second hire Month 25. Annual churn: 12%. Upsell: 15% of clients/year. Referral mix: 20% (Y1) -&gt; 35% (Y2) -&gt; 45% (Y3).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New Clients</w:t>
            </w:r>
          </w:p>
        </w:tc>
        <w:tc>
          <w:tcPr>
            <w:tcW w:type="dxa" w:w="15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Clients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Avg. MRR/Client</w:t>
            </w:r>
          </w:p>
        </w:tc>
        <w:tc>
          <w:tcPr>
            <w:tcW w:type="dxa" w:w="15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type="dxa" w:w="115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SAM %</w:t>
            </w:r>
          </w:p>
        </w:tc>
      </w:tr>
      <w:tr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Q1 2025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4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4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$6,000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$288K</w:t>
            </w:r>
          </w:p>
        </w:tc>
        <w:tc>
          <w:tcPr>
            <w:tcW w:type="dxa" w:w="115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0.02%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Q2 2025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5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9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$6,200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$669K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0.04%</w:t>
            </w:r>
          </w:p>
        </w:tc>
      </w:tr>
      <w:tr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Q3 2025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6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14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$6,500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$1.09M</w:t>
            </w:r>
          </w:p>
        </w:tc>
        <w:tc>
          <w:tcPr>
            <w:tcW w:type="dxa" w:w="115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0.06%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Q4 2025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7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20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$6,800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$1.63M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0.10%</w:t>
            </w:r>
          </w:p>
        </w:tc>
      </w:tr>
      <w:tr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EOY 2025 (Y1)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-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20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$7,000 avg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$1.68M ARR</w:t>
            </w:r>
          </w:p>
        </w:tc>
        <w:tc>
          <w:tcPr>
            <w:tcW w:type="dxa" w:w="115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0.10%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EOY 2026 (Y2)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-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55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$8,200 avg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$5.41M ARR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0.32%</w:t>
            </w:r>
          </w:p>
        </w:tc>
      </w:tr>
      <w:tr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EOY 2027 (Y3)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-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130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$9,800 avg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$15.3M ARR</w:t>
            </w:r>
          </w:p>
        </w:tc>
        <w:tc>
          <w:tcPr>
            <w:tcW w:type="dxa" w:w="115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0.91%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EOY 2028 (Y4)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-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220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$10,200 avg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$26.9M ARR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1.60%</w:t>
            </w:r>
          </w:p>
        </w:tc>
      </w:tr>
      <w:tr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EOY 2029 (Y5)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-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330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$10,600 avg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$42.0M ARR</w:t>
            </w:r>
          </w:p>
        </w:tc>
        <w:tc>
          <w:tcPr>
            <w:tcW w:type="dxa" w:w="115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2.50%</w:t>
            </w:r>
          </w:p>
        </w:tc>
      </w:tr>
    </w:tbl>
    <w:p/>
    <w:p>
      <w:pPr>
        <w:spacing w:before="200" w:after="80"/>
      </w:pPr>
      <w:r>
        <w:rPr>
          <w:b/>
          <w:color w:val="1A1A2E"/>
          <w:sz w:val="21"/>
        </w:rPr>
        <w:t>Revenue Mix by Segment (Year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44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29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Clients</w:t>
            </w:r>
          </w:p>
        </w:tc>
        <w:tc>
          <w:tcPr>
            <w:tcW w:type="dxa" w:w="15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Avg. MRR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Segment ARR</w:t>
            </w:r>
          </w:p>
        </w:tc>
        <w:tc>
          <w:tcPr>
            <w:tcW w:type="dxa" w:w="129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of ARR</w:t>
            </w:r>
          </w:p>
        </w:tc>
      </w:tr>
      <w:tr>
        <w:tc>
          <w:tcPr>
            <w:tcW w:type="dxa" w:w="244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S1 (1-10)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15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$4,500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$810K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5%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S2 (10-50)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58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$7,500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$5.22M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34%</w:t>
            </w:r>
          </w:p>
        </w:tc>
      </w:tr>
      <w:tr>
        <w:tc>
          <w:tcPr>
            <w:tcW w:type="dxa" w:w="244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S3 (50-100)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38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$11,000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$5.02M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33%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S4 (100-200)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19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$17,500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$3.99M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26%</w:t>
            </w:r>
          </w:p>
        </w:tc>
      </w:tr>
      <w:tr>
        <w:tc>
          <w:tcPr>
            <w:tcW w:type="dxa" w:w="244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TOTAL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130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$9,800 avg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$15.3M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100%</w:t>
            </w:r>
          </w:p>
        </w:tc>
      </w:tr>
    </w:tbl>
    <w:p/>
    <w:p>
      <w:pPr>
        <w:spacing w:before="320" w:after="100"/>
        <w:pBdr>
          <w:bottom w:val="single" w:sz="6" w:space="3" w:color="E8B830"/>
        </w:pBdr>
      </w:pPr>
      <w:r>
        <w:rPr>
          <w:b/>
          <w:color w:val="E8B830"/>
          <w:sz w:val="24"/>
        </w:rPr>
        <w:t>6. COMPETITIVE LANDSCAPE</w:t>
      </w:r>
    </w:p>
    <w:p>
      <w:pPr>
        <w:spacing w:after="100"/>
      </w:pPr>
      <w:r>
        <w:rPr>
          <w:i w:val="0"/>
          <w:color w:val="1A1A2E"/>
          <w:sz w:val="20"/>
        </w:rPr>
        <w:t>The B2B outsourced outbound market is highly fragmented. No single player holds &gt;5% market share. Top 10 agencies combined: estimated $150M-$250M ARR (roughly 5% of TAM). This fragmentation IS the market opportunity.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15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Est. ARR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Pricing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SELLL Displacement</w:t>
            </w:r>
          </w:p>
        </w:tc>
      </w:tr>
      <w:tr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ColdIQ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$15M-$25M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Series A+, AI-native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$8K-$15K/mo</w:t>
            </w:r>
          </w:p>
        </w:tc>
        <w:tc>
          <w:tcPr>
            <w:tcW w:type="dxa" w:w="288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SELLL wins on signal intelligence - ColdIQ sends, SELLL decides who/when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Kalungi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$8M-$12M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B2B SaaS only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$15K-$40K/mo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Lower cost, faster 90-day build, same intelligence depth</w:t>
            </w:r>
          </w:p>
        </w:tc>
      </w:tr>
      <w:tr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Belkins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$20M-$30M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Enterprise, multi-industry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$5K-$12K/mo</w:t>
            </w:r>
          </w:p>
        </w:tc>
        <w:tc>
          <w:tcPr>
            <w:tcW w:type="dxa" w:w="288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SELLL wins on AI-native signal model; Belkins is manual research-based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SaaSHero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$3M-$5M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Early-stage SaaS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$1,250/mo flat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SELLL wins on build quality; price justified by ROI</w:t>
            </w:r>
          </w:p>
        </w:tc>
      </w:tr>
      <w:tr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Pearl Lemon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$5M-$8M</w:t>
            </w:r>
          </w:p>
        </w:tc>
        <w:tc>
          <w:tcPr>
            <w:tcW w:type="dxa" w:w="187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UK-based, global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$2K-$6K/mo</w:t>
            </w:r>
          </w:p>
        </w:tc>
        <w:tc>
          <w:tcPr>
            <w:tcW w:type="dxa" w:w="288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SELLL wins on US market depth and intelligence layer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In-house SDR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N/A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All segments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$110K-$150K OTE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Same output, 48% lower cost, no 6-month ramp, no turnover</w:t>
            </w:r>
          </w:p>
        </w:tc>
      </w:tr>
    </w:tbl>
    <w:p/>
    <w:p>
      <w:pPr>
        <w:spacing w:before="320" w:after="100"/>
        <w:pBdr>
          <w:bottom w:val="single" w:sz="6" w:space="3" w:color="E8B830"/>
        </w:pBdr>
      </w:pPr>
      <w:r>
        <w:rPr>
          <w:b/>
          <w:color w:val="E8B830"/>
          <w:sz w:val="24"/>
        </w:rPr>
        <w:t>7. UNIT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302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29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29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29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403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02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Avg. MRR per client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$7,000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$8,200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$9,800</w:t>
            </w:r>
          </w:p>
        </w:tc>
        <w:tc>
          <w:tcPr>
            <w:tcW w:type="dxa" w:w="403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Upsell + segment mix shift to S3/S4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Avg. ACV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$84K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$98.4K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$117.6K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12-month contracts standard</w:t>
            </w:r>
          </w:p>
        </w:tc>
      </w:tr>
      <w:tr>
        <w:tc>
          <w:tcPr>
            <w:tcW w:type="dxa" w:w="302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CAC (cold outbound)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$3,500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$3,000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$2,800</w:t>
            </w:r>
          </w:p>
        </w:tc>
        <w:tc>
          <w:tcPr>
            <w:tcW w:type="dxa" w:w="403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Improves with brand + referral mix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CAC (referral)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$1,200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$1,000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$900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20% -&gt; 35% -&gt; 45% of new clients</w:t>
            </w:r>
          </w:p>
        </w:tc>
      </w:tr>
      <w:tr>
        <w:tc>
          <w:tcPr>
            <w:tcW w:type="dxa" w:w="302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Blended CAC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$3,150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$2,400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$1,850</w:t>
            </w:r>
          </w:p>
        </w:tc>
        <w:tc>
          <w:tcPr>
            <w:tcW w:type="dxa" w:w="403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Referral mix improving each year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LTV (24-month avg)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$168K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$197K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$235K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Assumes 12% annual churn</w:t>
            </w:r>
          </w:p>
        </w:tc>
      </w:tr>
      <w:tr>
        <w:tc>
          <w:tcPr>
            <w:tcW w:type="dxa" w:w="302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LTV:CAC ratio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53:1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82:1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127:1</w:t>
            </w:r>
          </w:p>
        </w:tc>
        <w:tc>
          <w:tcPr>
            <w:tcW w:type="dxa" w:w="403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Extremely strong unit economics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Gross margin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65%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70%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74%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Labor + tooling as % of revenue</w:t>
            </w:r>
          </w:p>
        </w:tc>
      </w:tr>
      <w:tr>
        <w:tc>
          <w:tcPr>
            <w:tcW w:type="dxa" w:w="302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Payback period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&lt;1.5 months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&lt;1 month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&lt;1 month</w:t>
            </w:r>
          </w:p>
        </w:tc>
        <w:tc>
          <w:tcPr>
            <w:tcW w:type="dxa" w:w="403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At $7K/mo, CAC recovered in 6 weeks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NRR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103%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108%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115%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Upsell + low churn</w:t>
            </w:r>
          </w:p>
        </w:tc>
      </w:tr>
    </w:tbl>
    <w:p/>
    <w:p>
      <w:pPr>
        <w:spacing w:before="320" w:after="100"/>
        <w:pBdr>
          <w:bottom w:val="single" w:sz="6" w:space="3" w:color="E8B830"/>
        </w:pBdr>
      </w:pPr>
      <w:r>
        <w:rPr>
          <w:b/>
          <w:color w:val="E8B830"/>
          <w:sz w:val="24"/>
        </w:rPr>
        <w:t>8. GROWTH DRIVERS &amp; HEADWINDS</w:t>
      </w:r>
    </w:p>
    <w:p>
      <w:pPr>
        <w:spacing w:before="200" w:after="80"/>
      </w:pPr>
      <w:r>
        <w:rPr>
          <w:b/>
          <w:color w:val="1A1A2E"/>
          <w:sz w:val="21"/>
        </w:rPr>
        <w:t>Tailwinds</w:t>
      </w:r>
    </w:p>
    <w:p>
      <w:pPr>
        <w:pStyle w:val="ListBullet"/>
        <w:spacing w:after="60"/>
      </w:pPr>
      <w:r>
        <w:rPr>
          <w:color w:val="1A1A2E"/>
          <w:sz w:val="20"/>
        </w:rPr>
        <w:t>AI noise is deafening. Inboxes flooded with AI-generated blasts. Signal-triggered outreach is the only proven way to cut through. Reply rates on spray-and-pray are below 0.5% industrywide. SELLL's signal model delivers 3-5x.</w:t>
      </w:r>
    </w:p>
    <w:p>
      <w:pPr>
        <w:pStyle w:val="ListBullet"/>
        <w:spacing w:after="60"/>
      </w:pPr>
      <w:r>
        <w:rPr>
          <w:color w:val="1A1A2E"/>
          <w:sz w:val="20"/>
        </w:rPr>
        <w:t>SDR hiring costs rising. Average SDR OTE now $75K-$95K + $50K overhead. Payback on in-house SDR: 9-18 months. SELLL delivers same output in 90 days at 48% lower cost.</w:t>
      </w:r>
    </w:p>
    <w:p>
      <w:pPr>
        <w:pStyle w:val="ListBullet"/>
        <w:spacing w:after="60"/>
      </w:pPr>
      <w:r>
        <w:rPr>
          <w:color w:val="1A1A2E"/>
          <w:sz w:val="20"/>
        </w:rPr>
        <w:t>VC/PE portfolio pressure. Post-2022 environment demands faster ARR per dollar invested. SELLL's ROI math ($1 -&gt; $12-$30 in pipeline) resonates with CFOs and investors.</w:t>
      </w:r>
    </w:p>
    <w:p>
      <w:pPr>
        <w:pStyle w:val="ListBullet"/>
        <w:spacing w:after="60"/>
      </w:pPr>
      <w:r>
        <w:rPr>
          <w:color w:val="1A1A2E"/>
          <w:sz w:val="20"/>
        </w:rPr>
        <w:t>Apollo / Instantly democratised sending - and saturated it. Everyone sends. No one differentiates at the sequence layer. The intelligence layer is the new defensible moat.</w:t>
      </w:r>
    </w:p>
    <w:p>
      <w:pPr>
        <w:pStyle w:val="ListBullet"/>
        <w:spacing w:after="60"/>
      </w:pPr>
      <w:r>
        <w:rPr>
          <w:color w:val="1A1A2E"/>
          <w:sz w:val="20"/>
        </w:rPr>
        <w:t>SaaS funding wave created 50K+ new B2B companies in SELLL's sweet spot.</w:t>
      </w:r>
    </w:p>
    <w:p>
      <w:pPr>
        <w:spacing w:before="200" w:after="80"/>
      </w:pPr>
      <w:r>
        <w:rPr>
          <w:b/>
          <w:color w:val="1A1A2E"/>
          <w:sz w:val="21"/>
        </w:rPr>
        <w:t>Headwinds</w:t>
      </w:r>
    </w:p>
    <w:p>
      <w:pPr>
        <w:pStyle w:val="ListBullet"/>
        <w:spacing w:after="60"/>
      </w:pPr>
      <w:r>
        <w:rPr>
          <w:color w:val="1A1A2E"/>
          <w:sz w:val="20"/>
        </w:rPr>
        <w:t>Email deliverability degradation. Gmail and Outlook tightening spam filters. SELLL must own deliverability as a core competency, not an afterthought.</w:t>
      </w:r>
    </w:p>
    <w:p>
      <w:pPr>
        <w:pStyle w:val="ListBullet"/>
        <w:spacing w:after="60"/>
      </w:pPr>
      <w:r>
        <w:rPr>
          <w:color w:val="1A1A2E"/>
          <w:sz w:val="20"/>
        </w:rPr>
        <w:t>Market education cost. Signal-triggered intelligence is a new concept. Buyers default to 'we just need better emails.' SELLL must sell the category before selling the product.</w:t>
      </w:r>
    </w:p>
    <w:p>
      <w:pPr>
        <w:pStyle w:val="ListBullet"/>
        <w:spacing w:after="60"/>
      </w:pPr>
      <w:r>
        <w:rPr>
          <w:color w:val="1A1A2E"/>
          <w:sz w:val="20"/>
        </w:rPr>
        <w:t>Competitor convergence. ColdIQ and Belkins are adding 'signal' language to marketing. True differentiation requires product depth and client proof - not just positioning language.</w:t>
      </w:r>
    </w:p>
    <w:p>
      <w:pPr>
        <w:pStyle w:val="ListBullet"/>
        <w:spacing w:after="60"/>
      </w:pPr>
      <w:r>
        <w:rPr>
          <w:color w:val="1A1A2E"/>
          <w:sz w:val="20"/>
        </w:rPr>
        <w:t>Churn risk at S1. Solo founders churn faster when pipeline takes &gt;60 days. Careful expectation-setting required at onboarding.</w:t>
      </w:r>
    </w:p>
    <w:p>
      <w:pPr>
        <w:spacing w:before="320" w:after="100"/>
        <w:pBdr>
          <w:bottom w:val="single" w:sz="6" w:space="3" w:color="E8B830"/>
        </w:pBdr>
      </w:pPr>
      <w:r>
        <w:rPr>
          <w:b/>
          <w:color w:val="E8B830"/>
          <w:sz w:val="24"/>
        </w:rPr>
        <w:t>9. MARKET ENTRY SEQUENCING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44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Segment Focus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ARR Target</w:t>
            </w:r>
          </w:p>
        </w:tc>
        <w:tc>
          <w:tcPr>
            <w:tcW w:type="dxa" w:w="316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Primary GTM Lever</w:t>
            </w:r>
          </w:p>
        </w:tc>
      </w:tr>
      <w:tr>
        <w:tc>
          <w:tcPr>
            <w:tcW w:type="dxa" w:w="244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Phase 1 - Prove the System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Months 1-6</w:t>
            </w:r>
          </w:p>
        </w:tc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S2 (10-50, no sales)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$500K-$1M</w:t>
            </w:r>
          </w:p>
        </w:tc>
        <w:tc>
          <w:tcPr>
            <w:tcW w:type="dxa" w:w="316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Founder outbound, 3 signal sequences, referral capture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Phase 2 - Build the Brand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Months 7-18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S2 primary, S3 expansion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$1M-$5M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Case studies, LinkedIn content, referral program launch</w:t>
            </w:r>
          </w:p>
        </w:tc>
      </w:tr>
      <w:tr>
        <w:tc>
          <w:tcPr>
            <w:tcW w:type="dxa" w:w="244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Phase 3 - Scale the Engine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Months 19-36</w:t>
            </w:r>
          </w:p>
        </w:tc>
        <w:tc>
          <w:tcPr>
            <w:tcW w:type="dxa" w:w="216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S3 + S4 primary</w:t>
            </w:r>
          </w:p>
        </w:tc>
        <w:tc>
          <w:tcPr>
            <w:tcW w:type="dxa" w:w="1440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$5M-$15M</w:t>
            </w:r>
          </w:p>
        </w:tc>
        <w:tc>
          <w:tcPr>
            <w:tcW w:type="dxa" w:w="316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First sales hire, partner channel, inbound + PLG motion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Phase 4 - Market Leadership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Year 4-5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All segments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$15M-$42M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Product-led growth, API layer, channel partnerships</w:t>
            </w:r>
          </w:p>
        </w:tc>
      </w:tr>
    </w:tbl>
    <w:p/>
    <w:p>
      <w:pPr>
        <w:spacing w:before="320" w:after="100"/>
        <w:pBdr>
          <w:bottom w:val="single" w:sz="6" w:space="3" w:color="E8B830"/>
        </w:pBdr>
      </w:pPr>
      <w:r>
        <w:rPr>
          <w:b/>
          <w:color w:val="E8B830"/>
          <w:sz w:val="24"/>
        </w:rPr>
        <w:t>10. KEY ASSUMPTIONS &amp; SENSITIVITY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31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Base Case</w:t>
            </w:r>
          </w:p>
        </w:tc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Bull Case</w:t>
            </w:r>
          </w:p>
        </w:tc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Bear Case</w:t>
            </w:r>
          </w:p>
        </w:tc>
      </w:tr>
      <w:tr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Avg. MRR per client (Y3)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$9,800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$12,500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$7,200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Annual churn rate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12%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8%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20%</w:t>
            </w:r>
          </w:p>
        </w:tc>
      </w:tr>
      <w:tr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New clients / month (Y3)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5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8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3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Referral mix by Y2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35%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50%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15%</w:t>
            </w:r>
          </w:p>
        </w:tc>
      </w:tr>
      <w:tr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Market CAGR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10.3%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13%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7%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Blended CAC (Y2)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$2,400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$1,800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$3,500</w:t>
            </w:r>
          </w:p>
        </w:tc>
      </w:tr>
      <w:tr>
        <w:tc>
          <w:tcPr>
            <w:tcW w:type="dxa" w:w="3312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Gross margin (Y3)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74%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78%</w:t>
            </w:r>
          </w:p>
        </w:tc>
        <w:tc>
          <w:tcPr>
            <w:tcW w:type="dxa" w:w="172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62%</w:t>
            </w:r>
          </w:p>
        </w:tc>
      </w:tr>
    </w:tbl>
    <w:p/>
    <w:p>
      <w:pPr>
        <w:spacing w:before="200" w:after="80"/>
      </w:pPr>
      <w:r>
        <w:rPr>
          <w:b/>
          <w:color w:val="1A1A2E"/>
          <w:sz w:val="21"/>
        </w:rPr>
        <w:t>Revenue Sensitivity (Year 3 ARR)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45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584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type="dxa" w:w="129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Clients</w:t>
            </w:r>
          </w:p>
        </w:tc>
        <w:tc>
          <w:tcPr>
            <w:tcW w:type="dxa" w:w="460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Driver</w:t>
            </w:r>
          </w:p>
        </w:tc>
      </w:tr>
      <w:tr>
        <w:tc>
          <w:tcPr>
            <w:tcW w:type="dxa" w:w="345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Bull (high retention + upsell)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$22.5M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145</w:t>
            </w:r>
          </w:p>
        </w:tc>
        <w:tc>
          <w:tcPr>
            <w:tcW w:type="dxa" w:w="460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Referral mix 50%, churn 8%, S3/S4 skew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Base (model assumptions)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$15.3M</w:t>
            </w:r>
          </w:p>
        </w:tc>
        <w:tc>
          <w:tcPr>
            <w:tcW w:type="dxa" w:w="1296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130</w:t>
            </w:r>
          </w:p>
        </w:tc>
        <w:tc>
          <w:tcPr>
            <w:tcW w:type="dxa" w:w="4608"/>
            <w:shd w:val="clear" w:color="auto" w:fill="FFFFFF"/>
          </w:tcPr>
          <w:p>
            <w:r/>
            <w:r>
              <w:rPr>
                <w:color w:val="1A1A2E"/>
                <w:sz w:val="18"/>
              </w:rPr>
              <w:t>As modelled</w:t>
            </w:r>
          </w:p>
        </w:tc>
      </w:tr>
      <w:tr>
        <w:tc>
          <w:tcPr>
            <w:tcW w:type="dxa" w:w="345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Bear (high churn + slow growth)</w:t>
            </w:r>
          </w:p>
        </w:tc>
        <w:tc>
          <w:tcPr>
            <w:tcW w:type="dxa" w:w="1584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$8.1M</w:t>
            </w:r>
          </w:p>
        </w:tc>
        <w:tc>
          <w:tcPr>
            <w:tcW w:type="dxa" w:w="1296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95</w:t>
            </w:r>
          </w:p>
        </w:tc>
        <w:tc>
          <w:tcPr>
            <w:tcW w:type="dxa" w:w="4608"/>
            <w:shd w:val="clear" w:color="auto" w:fill="FAF6E9"/>
          </w:tcPr>
          <w:p>
            <w:r/>
            <w:r>
              <w:rPr>
                <w:color w:val="1A1A2E"/>
                <w:sz w:val="18"/>
              </w:rPr>
              <w:t>Churn 20%, S1/S2 skew, CAC elevation</w:t>
            </w:r>
          </w:p>
        </w:tc>
      </w:tr>
    </w:tbl>
    <w:p/>
    <w:p>
      <w:pPr>
        <w:spacing w:before="320" w:after="100"/>
        <w:pBdr>
          <w:bottom w:val="single" w:sz="6" w:space="3" w:color="E8B830"/>
        </w:pBdr>
      </w:pPr>
      <w:r>
        <w:rPr>
          <w:b/>
          <w:color w:val="E8B830"/>
          <w:sz w:val="24"/>
        </w:rPr>
        <w:t>11. SELLL'S PATH TO MARKET LEADERSHIP</w:t>
      </w:r>
    </w:p>
    <w:p>
      <w:pPr>
        <w:spacing w:after="100"/>
      </w:pPr>
      <w:r>
        <w:rPr>
          <w:i w:val="0"/>
          <w:color w:val="1A1A2E"/>
          <w:sz w:val="20"/>
        </w:rPr>
        <w:t>Three conditions for SELLL to own this market segment:</w:t>
      </w:r>
    </w:p>
    <w:p>
      <w:pPr>
        <w:pStyle w:val="ListBullet"/>
        <w:spacing w:after="60"/>
      </w:pPr>
      <w:r>
        <w:rPr>
          <w:b/>
          <w:color w:val="1A1A2E"/>
          <w:sz w:val="20"/>
        </w:rPr>
        <w:t xml:space="preserve">1. </w:t>
      </w:r>
      <w:r>
        <w:rPr>
          <w:color w:val="1A1A2E"/>
          <w:sz w:val="20"/>
        </w:rPr>
        <w:t>Be first to prove the signal model at scale. The first company that publishes consistent data showing signal-triggered outreach outperforms calendar-triggered by 3-5x will set the category standard. Every case study is a market education asset.</w:t>
      </w:r>
    </w:p>
    <w:p>
      <w:pPr>
        <w:pStyle w:val="ListBullet"/>
        <w:spacing w:after="60"/>
      </w:pPr>
      <w:r>
        <w:rPr>
          <w:b/>
          <w:color w:val="1A1A2E"/>
          <w:sz w:val="20"/>
        </w:rPr>
        <w:t xml:space="preserve">2. </w:t>
      </w:r>
      <w:r>
        <w:rPr>
          <w:color w:val="1A1A2E"/>
          <w:sz w:val="20"/>
        </w:rPr>
        <w:t>Build the moat before competitors copy the language. Signal intelligence positioning is copyable as language. It is not copyable as a live product with 130 active client signal feeds, 50M+ data points, and 18 months of model calibration. Build the depth now.</w:t>
      </w:r>
    </w:p>
    <w:p>
      <w:pPr>
        <w:pStyle w:val="ListBullet"/>
        <w:spacing w:after="60"/>
      </w:pPr>
      <w:r>
        <w:rPr>
          <w:b/>
          <w:color w:val="1A1A2E"/>
          <w:sz w:val="20"/>
        </w:rPr>
        <w:t xml:space="preserve">3. </w:t>
      </w:r>
      <w:r>
        <w:rPr>
          <w:color w:val="1A1A2E"/>
          <w:sz w:val="20"/>
        </w:rPr>
        <w:t>Turn clients into a distribution channel. Every SELLL client who hit 3x pipeline growth is a referral machine. The client network IS the CAC advantage. A VP Sales at one company moves to another - they bring SELLL with them. This is the ultimate defensibility.</w:t>
      </w:r>
    </w:p>
    <w:p/>
    <w:p>
      <w:pPr>
        <w:jc w:val="center"/>
      </w:pPr>
      <w:r>
        <w:rPr>
          <w:i/>
          <w:color w:val="888888"/>
          <w:sz w:val="16"/>
        </w:rPr>
        <w:t>SELLL Revenue Engine  |  TAM Analysis  |  June 2026  |  Confidential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