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2743200" cy="603504"/>
            <wp:docPr id="1" name="Picture 1"/>
            <wp:cNvGraphicFramePr>
              <a:graphicFrameLocks noChangeAspect="1"/>
            </wp:cNvGraphicFramePr>
            <a:graphic>
              <a:graphicData uri="http://schemas.openxmlformats.org/drawingml/2006/picture">
                <pic:pic>
                  <pic:nvPicPr>
                    <pic:cNvPr id="0" name="selll_logo_clean.png"/>
                    <pic:cNvPicPr/>
                  </pic:nvPicPr>
                  <pic:blipFill>
                    <a:blip r:embed="rId9"/>
                    <a:stretch>
                      <a:fillRect/>
                    </a:stretch>
                  </pic:blipFill>
                  <pic:spPr>
                    <a:xfrm>
                      <a:off x="0" y="0"/>
                      <a:ext cx="2743200" cy="603504"/>
                    </a:xfrm>
                    <a:prstGeom prst="rect"/>
                  </pic:spPr>
                </pic:pic>
              </a:graphicData>
            </a:graphic>
          </wp:inline>
        </w:drawing>
      </w:r>
    </w:p>
    <w:p>
      <w:pPr>
        <w:jc w:val="center"/>
      </w:pPr>
      <w:r>
        <w:rPr>
          <w:b/>
          <w:color w:val="1A1A2E"/>
          <w:sz w:val="40"/>
        </w:rPr>
        <w:t>SELLL.io Brand Guidelines</w:t>
      </w:r>
    </w:p>
    <w:p>
      <w:pPr>
        <w:jc w:val="center"/>
      </w:pPr>
      <w:r>
        <w:rPr>
          <w:i/>
          <w:color w:val="E8B830"/>
          <w:sz w:val="22"/>
        </w:rPr>
        <w:t>The Ophir Gold Standard - Every Asset, Every Channel, One Voice</w:t>
      </w:r>
    </w:p>
    <w:p>
      <w:pPr>
        <w:jc w:val="center"/>
      </w:pPr>
      <w:r>
        <w:rPr>
          <w:color w:val="888888"/>
          <w:sz w:val="18"/>
        </w:rPr>
        <w:t>Version 1.0  |  June 2026  |  Brand &amp; Marketing Reference</w:t>
      </w:r>
    </w:p>
    <w:p/>
    <w:p>
      <w:pPr>
        <w:spacing w:after="100"/>
      </w:pPr>
      <w:r>
        <w:rPr>
          <w:i/>
          <w:color w:val="888888"/>
          <w:sz w:val="20"/>
        </w:rPr>
        <w:t>These guidelines define how SELLL looks, sounds, and feels. Every founder email, LinkedIn post, sales deck, and proposal must feel like it came from the same company. Consistency is credibility. When in doubt: dark navy, Ophir Gold accent, clean copy.</w:t>
      </w:r>
    </w:p>
    <w:p>
      <w:pPr>
        <w:spacing w:before="280" w:after="80"/>
        <w:pBdr>
          <w:bottom w:val="single" w:sz="6" w:space="3" w:color="E8B830"/>
        </w:pBdr>
      </w:pPr>
      <w:r>
        <w:rPr>
          <w:b/>
          <w:color w:val="E8B830"/>
          <w:sz w:val="22"/>
        </w:rPr>
        <w:t>BRAND IDENTITY</w:t>
      </w:r>
    </w:p>
    <w:p>
      <w:pPr>
        <w:spacing w:before="180" w:after="60"/>
      </w:pPr>
      <w:r>
        <w:rPr>
          <w:b/>
          <w:color w:val="1A1A2E"/>
          <w:sz w:val="21"/>
        </w:rPr>
        <w:t>What SELLL Is (Brand Positioning)</w:t>
      </w:r>
    </w:p>
    <w:p>
      <w:pPr>
        <w:spacing w:after="100"/>
      </w:pPr>
      <w:r>
        <w:rPr>
          <w:i w:val="0"/>
          <w:color w:val="1A1A2E"/>
          <w:sz w:val="20"/>
        </w:rPr>
        <w:t>SELLL is the signal-intelligent revenue engine. We are not a software tool. We are not a generic sales agency. We are the company that builds the system other agencies and tools cannot build - because we operate above them, at the signal intelligence layer.</w:t>
      </w:r>
    </w:p>
    <w:p>
      <w:pPr>
        <w:spacing w:before="180" w:after="60"/>
      </w:pPr>
      <w:r>
        <w:rPr>
          <w:b/>
          <w:color w:val="1A1A2E"/>
          <w:sz w:val="21"/>
        </w:rPr>
        <w:t>What SELLL Is Not</w:t>
      </w:r>
    </w:p>
    <w:p>
      <w:pPr>
        <w:pStyle w:val="ListBullet"/>
        <w:spacing w:after="60"/>
      </w:pPr>
      <w:r>
        <w:rPr>
          <w:color w:val="1A1A2E"/>
          <w:sz w:val="20"/>
        </w:rPr>
        <w:t>Not a CRM</w:t>
      </w:r>
    </w:p>
    <w:p>
      <w:pPr>
        <w:pStyle w:val="ListBullet"/>
        <w:spacing w:after="60"/>
      </w:pPr>
      <w:r>
        <w:rPr>
          <w:color w:val="1A1A2E"/>
          <w:sz w:val="20"/>
        </w:rPr>
        <w:t>Not an email tool</w:t>
      </w:r>
    </w:p>
    <w:p>
      <w:pPr>
        <w:pStyle w:val="ListBullet"/>
        <w:spacing w:after="60"/>
      </w:pPr>
      <w:r>
        <w:rPr>
          <w:color w:val="1A1A2E"/>
          <w:sz w:val="20"/>
        </w:rPr>
        <w:t>Not a list-building service</w:t>
      </w:r>
    </w:p>
    <w:p>
      <w:pPr>
        <w:pStyle w:val="ListBullet"/>
        <w:spacing w:after="60"/>
      </w:pPr>
      <w:r>
        <w:rPr>
          <w:color w:val="1A1A2E"/>
          <w:sz w:val="20"/>
        </w:rPr>
        <w:t>Not a generic cold email agency</w:t>
      </w:r>
    </w:p>
    <w:p>
      <w:pPr>
        <w:pStyle w:val="ListBullet"/>
        <w:spacing w:after="60"/>
      </w:pPr>
      <w:r>
        <w:rPr>
          <w:color w:val="1A1A2E"/>
          <w:sz w:val="20"/>
        </w:rPr>
        <w:t>Not a fractional sales team (we build systems, not headcount)</w:t>
      </w:r>
    </w:p>
    <w:p>
      <w:pPr>
        <w:pStyle w:val="ListBullet"/>
        <w:spacing w:after="60"/>
      </w:pPr>
      <w:r>
        <w:rPr>
          <w:color w:val="1A1A2E"/>
          <w:sz w:val="20"/>
        </w:rPr>
        <w:t>Not an overnight solution (the build takes 30 days; the results compound after that)</w:t>
      </w:r>
    </w:p>
    <w:p>
      <w:pPr>
        <w:spacing w:before="180" w:after="60"/>
      </w:pPr>
      <w:r>
        <w:rPr>
          <w:b/>
          <w:color w:val="1A1A2E"/>
          <w:sz w:val="21"/>
        </w:rPr>
        <w:t>Brand Personality (The 5 Words)</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A1A2E"/>
          </w:tcPr>
          <w:p>
            <w:pPr>
              <w:jc w:val="center"/>
            </w:pPr>
            <w:r/>
            <w:r>
              <w:rPr>
                <w:b/>
                <w:color w:val="FFFFFF"/>
                <w:sz w:val="18"/>
              </w:rPr>
              <w:t>Word</w:t>
            </w:r>
          </w:p>
        </w:tc>
        <w:tc>
          <w:tcPr>
            <w:tcW w:type="dxa" w:w="3456"/>
            <w:shd w:val="clear" w:color="auto" w:fill="1A1A2E"/>
          </w:tcPr>
          <w:p>
            <w:pPr>
              <w:jc w:val="center"/>
            </w:pPr>
            <w:r/>
            <w:r>
              <w:rPr>
                <w:b/>
                <w:color w:val="FFFFFF"/>
                <w:sz w:val="18"/>
              </w:rPr>
              <w:t>What It Means for SELLL</w:t>
            </w:r>
          </w:p>
        </w:tc>
        <w:tc>
          <w:tcPr>
            <w:tcW w:type="dxa" w:w="3744"/>
            <w:shd w:val="clear" w:color="auto" w:fill="1A1A2E"/>
          </w:tcPr>
          <w:p>
            <w:pPr>
              <w:jc w:val="center"/>
            </w:pPr>
            <w:r/>
            <w:r>
              <w:rPr>
                <w:b/>
                <w:color w:val="FFFFFF"/>
                <w:sz w:val="18"/>
              </w:rPr>
              <w:t>In Practice</w:t>
            </w:r>
          </w:p>
        </w:tc>
      </w:tr>
      <w:tr>
        <w:tc>
          <w:tcPr>
            <w:tcW w:type="dxa" w:w="1728"/>
            <w:shd w:val="clear" w:color="auto" w:fill="FAF6E9"/>
          </w:tcPr>
          <w:p>
            <w:pPr>
              <w:jc w:val="left"/>
            </w:pPr>
            <w:r/>
            <w:r>
              <w:rPr>
                <w:color w:val="1A1A2E"/>
                <w:sz w:val="18"/>
              </w:rPr>
              <w:t>Precise</w:t>
            </w:r>
          </w:p>
        </w:tc>
        <w:tc>
          <w:tcPr>
            <w:tcW w:type="dxa" w:w="3456"/>
            <w:shd w:val="clear" w:color="auto" w:fill="FAF6E9"/>
          </w:tcPr>
          <w:p>
            <w:pPr>
              <w:jc w:val="center"/>
            </w:pPr>
            <w:r/>
            <w:r>
              <w:rPr>
                <w:color w:val="1A1A2E"/>
                <w:sz w:val="18"/>
              </w:rPr>
              <w:t>Every claim is specific and provable</w:t>
            </w:r>
          </w:p>
        </w:tc>
        <w:tc>
          <w:tcPr>
            <w:tcW w:type="dxa" w:w="3744"/>
            <w:shd w:val="clear" w:color="auto" w:fill="FAF6E9"/>
          </w:tcPr>
          <w:p>
            <w:pPr>
              <w:jc w:val="center"/>
            </w:pPr>
            <w:r/>
            <w:r>
              <w:rPr>
                <w:color w:val="1A1A2E"/>
                <w:sz w:val="18"/>
              </w:rPr>
              <w:t>Never say 'better results' - say '4.2% reply rate vs 0.3% industry average'</w:t>
            </w:r>
          </w:p>
        </w:tc>
      </w:tr>
      <w:tr>
        <w:tc>
          <w:tcPr>
            <w:tcW w:type="dxa" w:w="1728"/>
            <w:shd w:val="clear" w:color="auto" w:fill="FFFFFF"/>
          </w:tcPr>
          <w:p>
            <w:pPr>
              <w:jc w:val="left"/>
            </w:pPr>
            <w:r/>
            <w:r>
              <w:rPr>
                <w:color w:val="1A1A2E"/>
                <w:sz w:val="18"/>
              </w:rPr>
              <w:t>Confident</w:t>
            </w:r>
          </w:p>
        </w:tc>
        <w:tc>
          <w:tcPr>
            <w:tcW w:type="dxa" w:w="3456"/>
            <w:shd w:val="clear" w:color="auto" w:fill="FFFFFF"/>
          </w:tcPr>
          <w:p>
            <w:pPr>
              <w:jc w:val="center"/>
            </w:pPr>
            <w:r/>
            <w:r>
              <w:rPr>
                <w:color w:val="1A1A2E"/>
                <w:sz w:val="18"/>
              </w:rPr>
              <w:t>We know what works and we are not afraid to say it</w:t>
            </w:r>
          </w:p>
        </w:tc>
        <w:tc>
          <w:tcPr>
            <w:tcW w:type="dxa" w:w="3744"/>
            <w:shd w:val="clear" w:color="auto" w:fill="FFFFFF"/>
          </w:tcPr>
          <w:p>
            <w:pPr>
              <w:jc w:val="center"/>
            </w:pPr>
            <w:r/>
            <w:r>
              <w:rPr>
                <w:color w:val="1A1A2E"/>
                <w:sz w:val="18"/>
              </w:rPr>
              <w:t>Use declarative sentences. Cut hedging language.</w:t>
            </w:r>
          </w:p>
        </w:tc>
      </w:tr>
      <w:tr>
        <w:tc>
          <w:tcPr>
            <w:tcW w:type="dxa" w:w="1728"/>
            <w:shd w:val="clear" w:color="auto" w:fill="FAF6E9"/>
          </w:tcPr>
          <w:p>
            <w:pPr>
              <w:jc w:val="left"/>
            </w:pPr>
            <w:r/>
            <w:r>
              <w:rPr>
                <w:color w:val="1A1A2E"/>
                <w:sz w:val="18"/>
              </w:rPr>
              <w:t>Intelligent</w:t>
            </w:r>
          </w:p>
        </w:tc>
        <w:tc>
          <w:tcPr>
            <w:tcW w:type="dxa" w:w="3456"/>
            <w:shd w:val="clear" w:color="auto" w:fill="FAF6E9"/>
          </w:tcPr>
          <w:p>
            <w:pPr>
              <w:jc w:val="center"/>
            </w:pPr>
            <w:r/>
            <w:r>
              <w:rPr>
                <w:color w:val="1A1A2E"/>
                <w:sz w:val="18"/>
              </w:rPr>
              <w:t>We operate above the noise</w:t>
            </w:r>
          </w:p>
        </w:tc>
        <w:tc>
          <w:tcPr>
            <w:tcW w:type="dxa" w:w="3744"/>
            <w:shd w:val="clear" w:color="auto" w:fill="FAF6E9"/>
          </w:tcPr>
          <w:p>
            <w:pPr>
              <w:jc w:val="center"/>
            </w:pPr>
            <w:r/>
            <w:r>
              <w:rPr>
                <w:color w:val="1A1A2E"/>
                <w:sz w:val="18"/>
              </w:rPr>
              <w:t>Reference signals, data, and systems - not emotions or hype</w:t>
            </w:r>
          </w:p>
        </w:tc>
      </w:tr>
      <w:tr>
        <w:tc>
          <w:tcPr>
            <w:tcW w:type="dxa" w:w="1728"/>
            <w:shd w:val="clear" w:color="auto" w:fill="FFFFFF"/>
          </w:tcPr>
          <w:p>
            <w:pPr>
              <w:jc w:val="left"/>
            </w:pPr>
            <w:r/>
            <w:r>
              <w:rPr>
                <w:color w:val="1A1A2E"/>
                <w:sz w:val="18"/>
              </w:rPr>
              <w:t>Direct</w:t>
            </w:r>
          </w:p>
        </w:tc>
        <w:tc>
          <w:tcPr>
            <w:tcW w:type="dxa" w:w="3456"/>
            <w:shd w:val="clear" w:color="auto" w:fill="FFFFFF"/>
          </w:tcPr>
          <w:p>
            <w:pPr>
              <w:jc w:val="center"/>
            </w:pPr>
            <w:r/>
            <w:r>
              <w:rPr>
                <w:color w:val="1A1A2E"/>
                <w:sz w:val="18"/>
              </w:rPr>
              <w:t>No fluff, no padding, no jargon for its own sake</w:t>
            </w:r>
          </w:p>
        </w:tc>
        <w:tc>
          <w:tcPr>
            <w:tcW w:type="dxa" w:w="3744"/>
            <w:shd w:val="clear" w:color="auto" w:fill="FFFFFF"/>
          </w:tcPr>
          <w:p>
            <w:pPr>
              <w:jc w:val="center"/>
            </w:pPr>
            <w:r/>
            <w:r>
              <w:rPr>
                <w:color w:val="1A1A2E"/>
                <w:sz w:val="18"/>
              </w:rPr>
              <w:t>Every sentence earns its place. Cut anything that does not move the reader forward.</w:t>
            </w:r>
          </w:p>
        </w:tc>
      </w:tr>
      <w:tr>
        <w:tc>
          <w:tcPr>
            <w:tcW w:type="dxa" w:w="1728"/>
            <w:shd w:val="clear" w:color="auto" w:fill="FAF6E9"/>
          </w:tcPr>
          <w:p>
            <w:pPr>
              <w:jc w:val="left"/>
            </w:pPr>
            <w:r/>
            <w:r>
              <w:rPr>
                <w:color w:val="1A1A2E"/>
                <w:sz w:val="18"/>
              </w:rPr>
              <w:t>Warm</w:t>
            </w:r>
          </w:p>
        </w:tc>
        <w:tc>
          <w:tcPr>
            <w:tcW w:type="dxa" w:w="3456"/>
            <w:shd w:val="clear" w:color="auto" w:fill="FAF6E9"/>
          </w:tcPr>
          <w:p>
            <w:pPr>
              <w:jc w:val="center"/>
            </w:pPr>
            <w:r/>
            <w:r>
              <w:rPr>
                <w:color w:val="1A1A2E"/>
                <w:sz w:val="18"/>
              </w:rPr>
              <w:t>We are rigorous but not cold - we genuinely care about client success</w:t>
            </w:r>
          </w:p>
        </w:tc>
        <w:tc>
          <w:tcPr>
            <w:tcW w:type="dxa" w:w="3744"/>
            <w:shd w:val="clear" w:color="auto" w:fill="FAF6E9"/>
          </w:tcPr>
          <w:p>
            <w:pPr>
              <w:jc w:val="center"/>
            </w:pPr>
            <w:r/>
            <w:r>
              <w:rPr>
                <w:color w:val="1A1A2E"/>
                <w:sz w:val="18"/>
              </w:rPr>
              <w:t>First-person, active voice. Use the client's name. Reference specific things they said.</w:t>
            </w:r>
          </w:p>
        </w:tc>
      </w:tr>
    </w:tbl>
    <w:p/>
    <w:p>
      <w:pPr>
        <w:spacing w:before="280" w:after="80"/>
        <w:pBdr>
          <w:bottom w:val="single" w:sz="6" w:space="3" w:color="E8B830"/>
        </w:pBdr>
      </w:pPr>
      <w:r>
        <w:rPr>
          <w:b/>
          <w:color w:val="E8B830"/>
          <w:sz w:val="22"/>
        </w:rPr>
        <w:t>VISUAL IDENTITY</w:t>
      </w:r>
    </w:p>
    <w:p>
      <w:pPr>
        <w:spacing w:before="180" w:after="60"/>
      </w:pPr>
      <w:r>
        <w:rPr>
          <w:b/>
          <w:color w:val="1A1A2E"/>
          <w:sz w:val="21"/>
        </w:rPr>
        <w:t>The Logo</w:t>
      </w:r>
    </w:p>
    <w:p>
      <w:pPr>
        <w:spacing w:after="100"/>
      </w:pPr>
      <w:r>
        <w:rPr>
          <w:i w:val="0"/>
          <w:color w:val="1A1A2E"/>
          <w:sz w:val="20"/>
        </w:rPr>
        <w:t>The SELLL logo is the 7 golden lampstands mark alongside the SELLL wordmark. The lampstands represent the seven layers of a signal-intelligent revenue system: Data, Signal, Scoring, Copy, Orchestration, Optimisation, and Outcome.</w:t>
      </w:r>
    </w:p>
    <w:p>
      <w:pPr>
        <w:spacing w:after="100"/>
      </w:pPr>
      <w:r>
        <w:rPr>
          <w:i w:val="0"/>
          <w:color w:val="1A1A2E"/>
          <w:sz w:val="20"/>
        </w:rPr>
        <w:t>The center flame is white (brightest signal). Outer flames are gold (warm outreach). The base unites all seven - one system, one motion.</w:t>
      </w:r>
    </w:p>
    <w:p>
      <w:pPr>
        <w:spacing w:before="180" w:after="60"/>
      </w:pPr>
      <w:r>
        <w:rPr>
          <w:b/>
          <w:color w:val="1A1A2E"/>
          <w:sz w:val="21"/>
        </w:rPr>
        <w:t>Logo Usage Rules</w:t>
      </w:r>
    </w:p>
    <w:p>
      <w:pPr>
        <w:pStyle w:val="ListBullet"/>
        <w:spacing w:after="60"/>
      </w:pPr>
      <w:r>
        <w:rPr>
          <w:color w:val="1A1A2E"/>
          <w:sz w:val="20"/>
        </w:rPr>
        <w:t>Always use on a dark (navy #1A1A2E) or light cream (#FFFCF0) background only.</w:t>
      </w:r>
    </w:p>
    <w:p>
      <w:pPr>
        <w:pStyle w:val="ListBullet"/>
        <w:spacing w:after="60"/>
      </w:pPr>
      <w:r>
        <w:rPr>
          <w:color w:val="1A1A2E"/>
          <w:sz w:val="20"/>
        </w:rPr>
        <w:t>Minimum size: 24px height for digital, 0.5 inch for print.</w:t>
      </w:r>
    </w:p>
    <w:p>
      <w:pPr>
        <w:pStyle w:val="ListBullet"/>
        <w:spacing w:after="60"/>
      </w:pPr>
      <w:r>
        <w:rPr>
          <w:color w:val="1A1A2E"/>
          <w:sz w:val="20"/>
        </w:rPr>
        <w:t>Never place on a busy photograph, patterned background, or competing color.</w:t>
      </w:r>
    </w:p>
    <w:p>
      <w:pPr>
        <w:pStyle w:val="ListBullet"/>
        <w:spacing w:after="60"/>
      </w:pPr>
      <w:r>
        <w:rPr>
          <w:color w:val="1A1A2E"/>
          <w:sz w:val="20"/>
        </w:rPr>
        <w:t>Never stretch, rotate, recolor, or add drop shadows.</w:t>
      </w:r>
    </w:p>
    <w:p>
      <w:pPr>
        <w:pStyle w:val="ListBullet"/>
        <w:spacing w:after="60"/>
      </w:pPr>
      <w:r>
        <w:rPr>
          <w:color w:val="1A1A2E"/>
          <w:sz w:val="20"/>
        </w:rPr>
        <w:t>The '.io' in SELLL.io is always Ophir Gold (#E8B830). The 'SELLL' is always navy.</w:t>
      </w:r>
    </w:p>
    <w:p>
      <w:pPr>
        <w:spacing w:before="180" w:after="60"/>
      </w:pPr>
      <w:r>
        <w:rPr>
          <w:b/>
          <w:color w:val="1A1A2E"/>
          <w:sz w:val="21"/>
        </w:rPr>
        <w:t>Color Palette - The Ophir Gold Standard</w:t>
      </w:r>
    </w:p>
    <w:p>
      <w:pPr>
        <w:spacing w:after="100"/>
      </w:pPr>
      <w:r>
        <w:rPr>
          <w:i w:val="0"/>
          <w:color w:val="1A1A2E"/>
          <w:sz w:val="20"/>
        </w:rPr>
        <w:t>These three colors are the complete SELLL palette. No supplementary colors are approved.</w:t>
      </w:r>
    </w:p>
    <w:p>
      <w:pPr>
        <w:spacing w:after="80"/>
        <w:ind w:left="360"/>
      </w:pPr>
      <w:r>
        <w:rPr>
          <w:b/>
          <w:color w:val="E8B830"/>
          <w:sz w:val="20"/>
        </w:rPr>
        <w:t xml:space="preserve">Ophir Gold (Primary) </w:t>
      </w:r>
      <w:r>
        <w:rPr>
          <w:color w:val="1A1A2E"/>
          <w:sz w:val="20"/>
        </w:rPr>
        <w:t>#E8B830  |  RGB: 232, 184, 48  |  Logo, headlines, CTAs, accent bars, table headers. The signature color.</w:t>
      </w:r>
    </w:p>
    <w:p>
      <w:pPr>
        <w:spacing w:after="80"/>
        <w:ind w:left="360"/>
      </w:pPr>
      <w:r>
        <w:rPr>
          <w:b/>
          <w:color w:val="E8B830"/>
          <w:sz w:val="20"/>
        </w:rPr>
        <w:t xml:space="preserve">Ophir Gold Bright </w:t>
      </w:r>
      <w:r>
        <w:rPr>
          <w:color w:val="1A1A2E"/>
          <w:sz w:val="20"/>
        </w:rPr>
        <w:t>#F5D060  |  RGB: 245, 208, 96  |  Secondary highlights, flame elements, quote callouts.</w:t>
      </w:r>
    </w:p>
    <w:p>
      <w:pPr>
        <w:spacing w:after="80"/>
        <w:ind w:left="360"/>
      </w:pPr>
      <w:r>
        <w:rPr>
          <w:b/>
          <w:color w:val="E8B830"/>
          <w:sz w:val="20"/>
        </w:rPr>
        <w:t xml:space="preserve">Ophir Gold Deep </w:t>
      </w:r>
      <w:r>
        <w:rPr>
          <w:color w:val="1A1A2E"/>
          <w:sz w:val="20"/>
        </w:rPr>
        <w:t>#B8860B  |  RGB: 184, 134, 11  |  Pedestal accents, dark-mode secondary text, shadow elements.</w:t>
      </w:r>
    </w:p>
    <w:p>
      <w:pPr>
        <w:spacing w:after="80"/>
        <w:ind w:left="360"/>
      </w:pPr>
      <w:r>
        <w:rPr>
          <w:b/>
          <w:color w:val="E8B830"/>
          <w:sz w:val="20"/>
        </w:rPr>
        <w:t xml:space="preserve">Deep Navy (Background Primary) </w:t>
      </w:r>
      <w:r>
        <w:rPr>
          <w:color w:val="1A1A2E"/>
          <w:sz w:val="20"/>
        </w:rPr>
        <w:t>#1A1A2E  |  RGB: 26, 26, 46  |  Dark slide backgrounds, table headers, dark mode canvas.</w:t>
      </w:r>
    </w:p>
    <w:p>
      <w:pPr>
        <w:spacing w:after="80"/>
        <w:ind w:left="360"/>
      </w:pPr>
      <w:r>
        <w:rPr>
          <w:b/>
          <w:color w:val="E8B830"/>
          <w:sz w:val="20"/>
        </w:rPr>
        <w:t xml:space="preserve">Cream (Background Secondary) </w:t>
      </w:r>
      <w:r>
        <w:rPr>
          <w:color w:val="1A1A2E"/>
          <w:sz w:val="20"/>
        </w:rPr>
        <w:t>#FFFCF0  |  RGB: 255, 252, 240  |  Light mode backgrounds, document paper, alternating table rows.</w:t>
      </w:r>
    </w:p>
    <w:p>
      <w:pPr>
        <w:spacing w:after="80"/>
        <w:ind w:left="360"/>
      </w:pPr>
      <w:r>
        <w:rPr>
          <w:b/>
          <w:color w:val="E8B830"/>
          <w:sz w:val="20"/>
        </w:rPr>
        <w:t xml:space="preserve">Pure White </w:t>
      </w:r>
      <w:r>
        <w:rPr>
          <w:color w:val="1A1A2E"/>
          <w:sz w:val="20"/>
        </w:rPr>
        <w:t>#FFFFFF  |  RGB: 255, 255, 255  |  Body text on dark backgrounds, alternating table rows.</w:t>
      </w:r>
    </w:p>
    <w:p>
      <w:pPr>
        <w:spacing w:after="80"/>
        <w:ind w:left="360"/>
      </w:pPr>
      <w:r>
        <w:rPr>
          <w:b/>
          <w:color w:val="E8B830"/>
          <w:sz w:val="20"/>
        </w:rPr>
        <w:t xml:space="preserve">Warm Grey </w:t>
      </w:r>
      <w:r>
        <w:rPr>
          <w:color w:val="1A1A2E"/>
          <w:sz w:val="20"/>
        </w:rPr>
        <w:t>#888899  |  RGB: 136, 136, 153  |  Captions, footnotes, secondary text, metadata.</w:t>
      </w:r>
    </w:p>
    <w:p>
      <w:pPr>
        <w:spacing w:before="180" w:after="60"/>
      </w:pPr>
      <w:r>
        <w:rPr>
          <w:b/>
          <w:color w:val="1A1A2E"/>
          <w:sz w:val="21"/>
        </w:rPr>
        <w:t>Typography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92"/>
            <w:shd w:val="clear" w:color="auto" w:fill="1A1A2E"/>
          </w:tcPr>
          <w:p>
            <w:pPr>
              <w:jc w:val="center"/>
            </w:pPr>
            <w:r/>
            <w:r>
              <w:rPr>
                <w:b/>
                <w:color w:val="FFFFFF"/>
                <w:sz w:val="18"/>
              </w:rPr>
              <w:t>Use Case</w:t>
            </w:r>
          </w:p>
        </w:tc>
        <w:tc>
          <w:tcPr>
            <w:tcW w:type="dxa" w:w="1728"/>
            <w:shd w:val="clear" w:color="auto" w:fill="1A1A2E"/>
          </w:tcPr>
          <w:p>
            <w:pPr>
              <w:jc w:val="center"/>
            </w:pPr>
            <w:r/>
            <w:r>
              <w:rPr>
                <w:b/>
                <w:color w:val="FFFFFF"/>
                <w:sz w:val="18"/>
              </w:rPr>
              <w:t>Font</w:t>
            </w:r>
          </w:p>
        </w:tc>
        <w:tc>
          <w:tcPr>
            <w:tcW w:type="dxa" w:w="1152"/>
            <w:shd w:val="clear" w:color="auto" w:fill="1A1A2E"/>
          </w:tcPr>
          <w:p>
            <w:pPr>
              <w:jc w:val="center"/>
            </w:pPr>
            <w:r/>
            <w:r>
              <w:rPr>
                <w:b/>
                <w:color w:val="FFFFFF"/>
                <w:sz w:val="18"/>
              </w:rPr>
              <w:t>Size</w:t>
            </w:r>
          </w:p>
        </w:tc>
        <w:tc>
          <w:tcPr>
            <w:tcW w:type="dxa" w:w="1728"/>
            <w:shd w:val="clear" w:color="auto" w:fill="1A1A2E"/>
          </w:tcPr>
          <w:p>
            <w:pPr>
              <w:jc w:val="center"/>
            </w:pPr>
            <w:r/>
            <w:r>
              <w:rPr>
                <w:b/>
                <w:color w:val="FFFFFF"/>
                <w:sz w:val="18"/>
              </w:rPr>
              <w:t>Weight</w:t>
            </w:r>
          </w:p>
        </w:tc>
        <w:tc>
          <w:tcPr>
            <w:tcW w:type="dxa" w:w="2592"/>
            <w:shd w:val="clear" w:color="auto" w:fill="1A1A2E"/>
          </w:tcPr>
          <w:p>
            <w:pPr>
              <w:jc w:val="center"/>
            </w:pPr>
            <w:r/>
            <w:r>
              <w:rPr>
                <w:b/>
                <w:color w:val="FFFFFF"/>
                <w:sz w:val="18"/>
              </w:rPr>
              <w:t>Color</w:t>
            </w:r>
          </w:p>
        </w:tc>
      </w:tr>
      <w:tr>
        <w:tc>
          <w:tcPr>
            <w:tcW w:type="dxa" w:w="2592"/>
            <w:shd w:val="clear" w:color="auto" w:fill="FAF6E9"/>
          </w:tcPr>
          <w:p>
            <w:pPr>
              <w:jc w:val="left"/>
            </w:pPr>
            <w:r/>
            <w:r>
              <w:rPr>
                <w:color w:val="1A1A2E"/>
                <w:sz w:val="18"/>
              </w:rPr>
              <w:t>Document headlines</w:t>
            </w:r>
          </w:p>
        </w:tc>
        <w:tc>
          <w:tcPr>
            <w:tcW w:type="dxa" w:w="1728"/>
            <w:shd w:val="clear" w:color="auto" w:fill="FAF6E9"/>
          </w:tcPr>
          <w:p>
            <w:pPr>
              <w:jc w:val="center"/>
            </w:pPr>
            <w:r/>
            <w:r>
              <w:rPr>
                <w:color w:val="1A1A2E"/>
                <w:sz w:val="18"/>
              </w:rPr>
              <w:t>Calibri</w:t>
            </w:r>
          </w:p>
        </w:tc>
        <w:tc>
          <w:tcPr>
            <w:tcW w:type="dxa" w:w="1152"/>
            <w:shd w:val="clear" w:color="auto" w:fill="FAF6E9"/>
          </w:tcPr>
          <w:p>
            <w:pPr>
              <w:jc w:val="center"/>
            </w:pPr>
            <w:r/>
            <w:r>
              <w:rPr>
                <w:color w:val="1A1A2E"/>
                <w:sz w:val="18"/>
              </w:rPr>
              <w:t>20-22pt</w:t>
            </w:r>
          </w:p>
        </w:tc>
        <w:tc>
          <w:tcPr>
            <w:tcW w:type="dxa" w:w="1728"/>
            <w:shd w:val="clear" w:color="auto" w:fill="FAF6E9"/>
          </w:tcPr>
          <w:p>
            <w:pPr>
              <w:jc w:val="center"/>
            </w:pPr>
            <w:r/>
            <w:r>
              <w:rPr>
                <w:color w:val="1A1A2E"/>
                <w:sz w:val="18"/>
              </w:rPr>
              <w:t>Bold</w:t>
            </w:r>
          </w:p>
        </w:tc>
        <w:tc>
          <w:tcPr>
            <w:tcW w:type="dxa" w:w="2592"/>
            <w:shd w:val="clear" w:color="auto" w:fill="FAF6E9"/>
          </w:tcPr>
          <w:p>
            <w:pPr>
              <w:jc w:val="center"/>
            </w:pPr>
            <w:r/>
            <w:r>
              <w:rPr>
                <w:color w:val="1A1A2E"/>
                <w:sz w:val="18"/>
              </w:rPr>
              <w:t>Ophir Gold or Deep Navy</w:t>
            </w:r>
          </w:p>
        </w:tc>
      </w:tr>
      <w:tr>
        <w:tc>
          <w:tcPr>
            <w:tcW w:type="dxa" w:w="2592"/>
            <w:shd w:val="clear" w:color="auto" w:fill="FFFFFF"/>
          </w:tcPr>
          <w:p>
            <w:pPr>
              <w:jc w:val="left"/>
            </w:pPr>
            <w:r/>
            <w:r>
              <w:rPr>
                <w:color w:val="1A1A2E"/>
                <w:sz w:val="18"/>
              </w:rPr>
              <w:t>Section headers (H1)</w:t>
            </w:r>
          </w:p>
        </w:tc>
        <w:tc>
          <w:tcPr>
            <w:tcW w:type="dxa" w:w="1728"/>
            <w:shd w:val="clear" w:color="auto" w:fill="FFFFFF"/>
          </w:tcPr>
          <w:p>
            <w:pPr>
              <w:jc w:val="center"/>
            </w:pPr>
            <w:r/>
            <w:r>
              <w:rPr>
                <w:color w:val="1A1A2E"/>
                <w:sz w:val="18"/>
              </w:rPr>
              <w:t>Calibri</w:t>
            </w:r>
          </w:p>
        </w:tc>
        <w:tc>
          <w:tcPr>
            <w:tcW w:type="dxa" w:w="1152"/>
            <w:shd w:val="clear" w:color="auto" w:fill="FFFFFF"/>
          </w:tcPr>
          <w:p>
            <w:pPr>
              <w:jc w:val="center"/>
            </w:pPr>
            <w:r/>
            <w:r>
              <w:rPr>
                <w:color w:val="1A1A2E"/>
                <w:sz w:val="18"/>
              </w:rPr>
              <w:t>11pt</w:t>
            </w:r>
          </w:p>
        </w:tc>
        <w:tc>
          <w:tcPr>
            <w:tcW w:type="dxa" w:w="1728"/>
            <w:shd w:val="clear" w:color="auto" w:fill="FFFFFF"/>
          </w:tcPr>
          <w:p>
            <w:pPr>
              <w:jc w:val="center"/>
            </w:pPr>
            <w:r/>
            <w:r>
              <w:rPr>
                <w:color w:val="1A1A2E"/>
                <w:sz w:val="18"/>
              </w:rPr>
              <w:t>Bold, UPPERCASE</w:t>
            </w:r>
          </w:p>
        </w:tc>
        <w:tc>
          <w:tcPr>
            <w:tcW w:type="dxa" w:w="2592"/>
            <w:shd w:val="clear" w:color="auto" w:fill="FFFFFF"/>
          </w:tcPr>
          <w:p>
            <w:pPr>
              <w:jc w:val="center"/>
            </w:pPr>
            <w:r/>
            <w:r>
              <w:rPr>
                <w:color w:val="1A1A2E"/>
                <w:sz w:val="18"/>
              </w:rPr>
              <w:t>Ophir Gold</w:t>
            </w:r>
          </w:p>
        </w:tc>
      </w:tr>
      <w:tr>
        <w:tc>
          <w:tcPr>
            <w:tcW w:type="dxa" w:w="2592"/>
            <w:shd w:val="clear" w:color="auto" w:fill="FAF6E9"/>
          </w:tcPr>
          <w:p>
            <w:pPr>
              <w:jc w:val="left"/>
            </w:pPr>
            <w:r/>
            <w:r>
              <w:rPr>
                <w:color w:val="1A1A2E"/>
                <w:sz w:val="18"/>
              </w:rPr>
              <w:t>Subheadings (H2)</w:t>
            </w:r>
          </w:p>
        </w:tc>
        <w:tc>
          <w:tcPr>
            <w:tcW w:type="dxa" w:w="1728"/>
            <w:shd w:val="clear" w:color="auto" w:fill="FAF6E9"/>
          </w:tcPr>
          <w:p>
            <w:pPr>
              <w:jc w:val="center"/>
            </w:pPr>
            <w:r/>
            <w:r>
              <w:rPr>
                <w:color w:val="1A1A2E"/>
                <w:sz w:val="18"/>
              </w:rPr>
              <w:t>Calibri</w:t>
            </w:r>
          </w:p>
        </w:tc>
        <w:tc>
          <w:tcPr>
            <w:tcW w:type="dxa" w:w="1152"/>
            <w:shd w:val="clear" w:color="auto" w:fill="FAF6E9"/>
          </w:tcPr>
          <w:p>
            <w:pPr>
              <w:jc w:val="center"/>
            </w:pPr>
            <w:r/>
            <w:r>
              <w:rPr>
                <w:color w:val="1A1A2E"/>
                <w:sz w:val="18"/>
              </w:rPr>
              <w:t>10.5pt</w:t>
            </w:r>
          </w:p>
        </w:tc>
        <w:tc>
          <w:tcPr>
            <w:tcW w:type="dxa" w:w="1728"/>
            <w:shd w:val="clear" w:color="auto" w:fill="FAF6E9"/>
          </w:tcPr>
          <w:p>
            <w:pPr>
              <w:jc w:val="center"/>
            </w:pPr>
            <w:r/>
            <w:r>
              <w:rPr>
                <w:color w:val="1A1A2E"/>
                <w:sz w:val="18"/>
              </w:rPr>
              <w:t>Bold</w:t>
            </w:r>
          </w:p>
        </w:tc>
        <w:tc>
          <w:tcPr>
            <w:tcW w:type="dxa" w:w="2592"/>
            <w:shd w:val="clear" w:color="auto" w:fill="FAF6E9"/>
          </w:tcPr>
          <w:p>
            <w:pPr>
              <w:jc w:val="center"/>
            </w:pPr>
            <w:r/>
            <w:r>
              <w:rPr>
                <w:color w:val="1A1A2E"/>
                <w:sz w:val="18"/>
              </w:rPr>
              <w:t>Deep Navy</w:t>
            </w:r>
          </w:p>
        </w:tc>
      </w:tr>
      <w:tr>
        <w:tc>
          <w:tcPr>
            <w:tcW w:type="dxa" w:w="2592"/>
            <w:shd w:val="clear" w:color="auto" w:fill="FFFFFF"/>
          </w:tcPr>
          <w:p>
            <w:pPr>
              <w:jc w:val="left"/>
            </w:pPr>
            <w:r/>
            <w:r>
              <w:rPr>
                <w:color w:val="1A1A2E"/>
                <w:sz w:val="18"/>
              </w:rPr>
              <w:t>Body text</w:t>
            </w:r>
          </w:p>
        </w:tc>
        <w:tc>
          <w:tcPr>
            <w:tcW w:type="dxa" w:w="1728"/>
            <w:shd w:val="clear" w:color="auto" w:fill="FFFFFF"/>
          </w:tcPr>
          <w:p>
            <w:pPr>
              <w:jc w:val="center"/>
            </w:pPr>
            <w:r/>
            <w:r>
              <w:rPr>
                <w:color w:val="1A1A2E"/>
                <w:sz w:val="18"/>
              </w:rPr>
              <w:t>Calibri</w:t>
            </w:r>
          </w:p>
        </w:tc>
        <w:tc>
          <w:tcPr>
            <w:tcW w:type="dxa" w:w="1152"/>
            <w:shd w:val="clear" w:color="auto" w:fill="FFFFFF"/>
          </w:tcPr>
          <w:p>
            <w:pPr>
              <w:jc w:val="center"/>
            </w:pPr>
            <w:r/>
            <w:r>
              <w:rPr>
                <w:color w:val="1A1A2E"/>
                <w:sz w:val="18"/>
              </w:rPr>
              <w:t>10pt</w:t>
            </w:r>
          </w:p>
        </w:tc>
        <w:tc>
          <w:tcPr>
            <w:tcW w:type="dxa" w:w="1728"/>
            <w:shd w:val="clear" w:color="auto" w:fill="FFFFFF"/>
          </w:tcPr>
          <w:p>
            <w:pPr>
              <w:jc w:val="center"/>
            </w:pPr>
            <w:r/>
            <w:r>
              <w:rPr>
                <w:color w:val="1A1A2E"/>
                <w:sz w:val="18"/>
              </w:rPr>
              <w:t>Regular</w:t>
            </w:r>
          </w:p>
        </w:tc>
        <w:tc>
          <w:tcPr>
            <w:tcW w:type="dxa" w:w="2592"/>
            <w:shd w:val="clear" w:color="auto" w:fill="FFFFFF"/>
          </w:tcPr>
          <w:p>
            <w:pPr>
              <w:jc w:val="center"/>
            </w:pPr>
            <w:r/>
            <w:r>
              <w:rPr>
                <w:color w:val="1A1A2E"/>
                <w:sz w:val="18"/>
              </w:rPr>
              <w:t>Deep Navy</w:t>
            </w:r>
          </w:p>
        </w:tc>
      </w:tr>
      <w:tr>
        <w:tc>
          <w:tcPr>
            <w:tcW w:type="dxa" w:w="2592"/>
            <w:shd w:val="clear" w:color="auto" w:fill="FAF6E9"/>
          </w:tcPr>
          <w:p>
            <w:pPr>
              <w:jc w:val="left"/>
            </w:pPr>
            <w:r/>
            <w:r>
              <w:rPr>
                <w:color w:val="1A1A2E"/>
                <w:sz w:val="18"/>
              </w:rPr>
              <w:t>Captions / metadata</w:t>
            </w:r>
          </w:p>
        </w:tc>
        <w:tc>
          <w:tcPr>
            <w:tcW w:type="dxa" w:w="1728"/>
            <w:shd w:val="clear" w:color="auto" w:fill="FAF6E9"/>
          </w:tcPr>
          <w:p>
            <w:pPr>
              <w:jc w:val="center"/>
            </w:pPr>
            <w:r/>
            <w:r>
              <w:rPr>
                <w:color w:val="1A1A2E"/>
                <w:sz w:val="18"/>
              </w:rPr>
              <w:t>Calibri</w:t>
            </w:r>
          </w:p>
        </w:tc>
        <w:tc>
          <w:tcPr>
            <w:tcW w:type="dxa" w:w="1152"/>
            <w:shd w:val="clear" w:color="auto" w:fill="FAF6E9"/>
          </w:tcPr>
          <w:p>
            <w:pPr>
              <w:jc w:val="center"/>
            </w:pPr>
            <w:r/>
            <w:r>
              <w:rPr>
                <w:color w:val="1A1A2E"/>
                <w:sz w:val="18"/>
              </w:rPr>
              <w:t>8-9pt</w:t>
            </w:r>
          </w:p>
        </w:tc>
        <w:tc>
          <w:tcPr>
            <w:tcW w:type="dxa" w:w="1728"/>
            <w:shd w:val="clear" w:color="auto" w:fill="FAF6E9"/>
          </w:tcPr>
          <w:p>
            <w:pPr>
              <w:jc w:val="center"/>
            </w:pPr>
            <w:r/>
            <w:r>
              <w:rPr>
                <w:color w:val="1A1A2E"/>
                <w:sz w:val="18"/>
              </w:rPr>
              <w:t>Regular Italic</w:t>
            </w:r>
          </w:p>
        </w:tc>
        <w:tc>
          <w:tcPr>
            <w:tcW w:type="dxa" w:w="2592"/>
            <w:shd w:val="clear" w:color="auto" w:fill="FAF6E9"/>
          </w:tcPr>
          <w:p>
            <w:pPr>
              <w:jc w:val="center"/>
            </w:pPr>
            <w:r/>
            <w:r>
              <w:rPr>
                <w:color w:val="1A1A2E"/>
                <w:sz w:val="18"/>
              </w:rPr>
              <w:t>Warm Grey</w:t>
            </w:r>
          </w:p>
        </w:tc>
      </w:tr>
      <w:tr>
        <w:tc>
          <w:tcPr>
            <w:tcW w:type="dxa" w:w="2592"/>
            <w:shd w:val="clear" w:color="auto" w:fill="FFFFFF"/>
          </w:tcPr>
          <w:p>
            <w:pPr>
              <w:jc w:val="left"/>
            </w:pPr>
            <w:r/>
            <w:r>
              <w:rPr>
                <w:color w:val="1A1A2E"/>
                <w:sz w:val="18"/>
              </w:rPr>
              <w:t>Email subject lines</w:t>
            </w:r>
          </w:p>
        </w:tc>
        <w:tc>
          <w:tcPr>
            <w:tcW w:type="dxa" w:w="1728"/>
            <w:shd w:val="clear" w:color="auto" w:fill="FFFFFF"/>
          </w:tcPr>
          <w:p>
            <w:pPr>
              <w:jc w:val="center"/>
            </w:pPr>
            <w:r/>
            <w:r>
              <w:rPr>
                <w:color w:val="1A1A2E"/>
                <w:sz w:val="18"/>
              </w:rPr>
              <w:t>Any sans-serif</w:t>
            </w:r>
          </w:p>
        </w:tc>
        <w:tc>
          <w:tcPr>
            <w:tcW w:type="dxa" w:w="1152"/>
            <w:shd w:val="clear" w:color="auto" w:fill="FFFFFF"/>
          </w:tcPr>
          <w:p>
            <w:pPr>
              <w:jc w:val="center"/>
            </w:pPr>
            <w:r/>
            <w:r>
              <w:rPr>
                <w:color w:val="1A1A2E"/>
                <w:sz w:val="18"/>
              </w:rPr>
              <w:t>Default</w:t>
            </w:r>
          </w:p>
        </w:tc>
        <w:tc>
          <w:tcPr>
            <w:tcW w:type="dxa" w:w="1728"/>
            <w:shd w:val="clear" w:color="auto" w:fill="FFFFFF"/>
          </w:tcPr>
          <w:p>
            <w:pPr>
              <w:jc w:val="center"/>
            </w:pPr>
            <w:r/>
            <w:r>
              <w:rPr>
                <w:color w:val="1A1A2E"/>
                <w:sz w:val="18"/>
              </w:rPr>
              <w:t>Regular</w:t>
            </w:r>
          </w:p>
        </w:tc>
        <w:tc>
          <w:tcPr>
            <w:tcW w:type="dxa" w:w="2592"/>
            <w:shd w:val="clear" w:color="auto" w:fill="FFFFFF"/>
          </w:tcPr>
          <w:p>
            <w:pPr>
              <w:jc w:val="center"/>
            </w:pPr>
            <w:r/>
            <w:r>
              <w:rPr>
                <w:color w:val="1A1A2E"/>
                <w:sz w:val="18"/>
              </w:rPr>
              <w:t>N/A - plain text</w:t>
            </w:r>
          </w:p>
        </w:tc>
      </w:tr>
      <w:tr>
        <w:tc>
          <w:tcPr>
            <w:tcW w:type="dxa" w:w="2592"/>
            <w:shd w:val="clear" w:color="auto" w:fill="FAF6E9"/>
          </w:tcPr>
          <w:p>
            <w:pPr>
              <w:jc w:val="left"/>
            </w:pPr>
            <w:r/>
            <w:r>
              <w:rPr>
                <w:color w:val="1A1A2E"/>
                <w:sz w:val="18"/>
              </w:rPr>
              <w:t>LinkedIn posts</w:t>
            </w:r>
          </w:p>
        </w:tc>
        <w:tc>
          <w:tcPr>
            <w:tcW w:type="dxa" w:w="1728"/>
            <w:shd w:val="clear" w:color="auto" w:fill="FAF6E9"/>
          </w:tcPr>
          <w:p>
            <w:pPr>
              <w:jc w:val="center"/>
            </w:pPr>
            <w:r/>
            <w:r>
              <w:rPr>
                <w:color w:val="1A1A2E"/>
                <w:sz w:val="18"/>
              </w:rPr>
              <w:t>Platform default</w:t>
            </w:r>
          </w:p>
        </w:tc>
        <w:tc>
          <w:tcPr>
            <w:tcW w:type="dxa" w:w="1152"/>
            <w:shd w:val="clear" w:color="auto" w:fill="FAF6E9"/>
          </w:tcPr>
          <w:p>
            <w:pPr>
              <w:jc w:val="center"/>
            </w:pPr>
            <w:r/>
            <w:r>
              <w:rPr>
                <w:color w:val="1A1A2E"/>
                <w:sz w:val="18"/>
              </w:rPr>
              <w:t>Platform default</w:t>
            </w:r>
          </w:p>
        </w:tc>
        <w:tc>
          <w:tcPr>
            <w:tcW w:type="dxa" w:w="1728"/>
            <w:shd w:val="clear" w:color="auto" w:fill="FAF6E9"/>
          </w:tcPr>
          <w:p>
            <w:pPr>
              <w:jc w:val="center"/>
            </w:pPr>
            <w:r/>
            <w:r>
              <w:rPr>
                <w:color w:val="1A1A2E"/>
                <w:sz w:val="18"/>
              </w:rPr>
              <w:t>Regular</w:t>
            </w:r>
          </w:p>
        </w:tc>
        <w:tc>
          <w:tcPr>
            <w:tcW w:type="dxa" w:w="2592"/>
            <w:shd w:val="clear" w:color="auto" w:fill="FAF6E9"/>
          </w:tcPr>
          <w:p>
            <w:pPr>
              <w:jc w:val="center"/>
            </w:pPr>
            <w:r/>
            <w:r>
              <w:rPr>
                <w:color w:val="1A1A2E"/>
                <w:sz w:val="18"/>
              </w:rPr>
              <w:t>N/A</w:t>
            </w:r>
          </w:p>
        </w:tc>
      </w:tr>
    </w:tbl>
    <w:p/>
    <w:p>
      <w:pPr>
        <w:spacing w:before="180" w:after="60"/>
      </w:pPr>
      <w:r>
        <w:rPr>
          <w:b/>
          <w:color w:val="1A1A2E"/>
          <w:sz w:val="21"/>
        </w:rPr>
        <w:t>Do Not Use</w:t>
      </w:r>
    </w:p>
    <w:p>
      <w:pPr>
        <w:pStyle w:val="ListBullet"/>
        <w:spacing w:after="60"/>
      </w:pPr>
      <w:r>
        <w:rPr>
          <w:color w:val="1A1A2E"/>
          <w:sz w:val="20"/>
        </w:rPr>
        <w:t>Comic Sans, Impact, Papyrus, or any display font in professional documents</w:t>
      </w:r>
    </w:p>
    <w:p>
      <w:pPr>
        <w:pStyle w:val="ListBullet"/>
        <w:spacing w:after="60"/>
      </w:pPr>
      <w:r>
        <w:rPr>
          <w:color w:val="1A1A2E"/>
          <w:sz w:val="20"/>
        </w:rPr>
        <w:t>More than 2 typefaces in any single document</w:t>
      </w:r>
    </w:p>
    <w:p>
      <w:pPr>
        <w:pStyle w:val="ListBullet"/>
        <w:spacing w:after="60"/>
      </w:pPr>
      <w:r>
        <w:rPr>
          <w:color w:val="1A1A2E"/>
          <w:sz w:val="20"/>
        </w:rPr>
        <w:t>All-caps body text (headlines only)</w:t>
      </w:r>
    </w:p>
    <w:p>
      <w:pPr>
        <w:pStyle w:val="ListBullet"/>
        <w:spacing w:after="60"/>
      </w:pPr>
      <w:r>
        <w:rPr>
          <w:color w:val="1A1A2E"/>
          <w:sz w:val="20"/>
        </w:rPr>
        <w:t>Colour gradients on text (flat color only)</w:t>
      </w:r>
    </w:p>
    <w:p>
      <w:pPr>
        <w:pStyle w:val="ListBullet"/>
        <w:spacing w:after="60"/>
      </w:pPr>
      <w:r>
        <w:rPr>
          <w:color w:val="1A1A2E"/>
          <w:sz w:val="20"/>
        </w:rPr>
        <w:t>Yellow text on white background (accessibility and legibility failure)</w:t>
      </w:r>
    </w:p>
    <w:p>
      <w:pPr>
        <w:spacing w:before="280" w:after="80"/>
        <w:pBdr>
          <w:bottom w:val="single" w:sz="6" w:space="3" w:color="E8B830"/>
        </w:pBdr>
      </w:pPr>
      <w:r>
        <w:rPr>
          <w:b/>
          <w:color w:val="E8B830"/>
          <w:sz w:val="22"/>
        </w:rPr>
        <w:t>VOICE AND TONE</w:t>
      </w:r>
    </w:p>
    <w:p>
      <w:pPr>
        <w:spacing w:before="180" w:after="60"/>
      </w:pPr>
      <w:r>
        <w:rPr>
          <w:b/>
          <w:color w:val="1A1A2E"/>
          <w:sz w:val="21"/>
        </w:rPr>
        <w:t>The SELLL Voice: Smart, Direct, Human</w:t>
      </w:r>
    </w:p>
    <w:p>
      <w:pPr>
        <w:spacing w:after="100"/>
      </w:pPr>
      <w:r>
        <w:rPr>
          <w:i w:val="0"/>
          <w:color w:val="1A1A2E"/>
          <w:sz w:val="20"/>
        </w:rPr>
        <w:t>We write the way a trusted senior advisor speaks - not the way a consultant presents. No jargon for jargon's sake. No passive voice. No hedging. We make claims we can prove and we prove them.</w:t>
      </w:r>
    </w:p>
    <w:p>
      <w:pPr>
        <w:spacing w:before="180" w:after="60"/>
      </w:pPr>
      <w:r>
        <w:rPr>
          <w:b/>
          <w:color w:val="1A1A2E"/>
          <w:sz w:val="21"/>
        </w:rPr>
        <w:t>The 8 Writing Rules</w:t>
      </w:r>
    </w:p>
    <w:p>
      <w:pPr>
        <w:spacing w:before="180" w:after="60"/>
      </w:pPr>
      <w:r>
        <w:rPr>
          <w:b/>
          <w:color w:val="E8B830"/>
          <w:sz w:val="21"/>
        </w:rPr>
        <w:t>Write for the skim and the read</w:t>
      </w:r>
    </w:p>
    <w:p>
      <w:pPr>
        <w:spacing w:after="100"/>
      </w:pPr>
      <w:r>
        <w:rPr>
          <w:i w:val="0"/>
          <w:color w:val="1A1A2E"/>
          <w:sz w:val="20"/>
        </w:rPr>
        <w:t>Every document must work for someone who skims headers AND someone who reads every word. Use bold for the key claim in each paragraph. Never bury the lead.</w:t>
      </w:r>
    </w:p>
    <w:p>
      <w:pPr>
        <w:spacing w:before="180" w:after="60"/>
      </w:pPr>
      <w:r>
        <w:rPr>
          <w:b/>
          <w:color w:val="E8B830"/>
          <w:sz w:val="21"/>
        </w:rPr>
        <w:t>Specific beats general - always</w:t>
      </w:r>
    </w:p>
    <w:p>
      <w:pPr>
        <w:spacing w:after="100"/>
      </w:pPr>
      <w:r>
        <w:rPr>
          <w:i w:val="0"/>
          <w:color w:val="1A1A2E"/>
          <w:sz w:val="20"/>
        </w:rPr>
        <w:t>'4.2% reply rate' beats 'better results.' '30 days' beats 'fast.' '$60K ARR from one deal' beats 'strong ROI.' Specificity is credibility.</w:t>
      </w:r>
    </w:p>
    <w:p>
      <w:pPr>
        <w:spacing w:before="180" w:after="60"/>
      </w:pPr>
      <w:r>
        <w:rPr>
          <w:b/>
          <w:color w:val="E8B830"/>
          <w:sz w:val="21"/>
        </w:rPr>
        <w:t>Active voice, present tense</w:t>
      </w:r>
    </w:p>
    <w:p>
      <w:pPr>
        <w:spacing w:after="100"/>
      </w:pPr>
      <w:r>
        <w:rPr>
          <w:i w:val="0"/>
          <w:color w:val="1A1A2E"/>
          <w:sz w:val="20"/>
        </w:rPr>
        <w:t>'SELLL builds the system' not 'The system is built by SELLL.' 'We monitor 40+ signals' not 'Signals are monitored.' Cut all passive constructions.</w:t>
      </w:r>
    </w:p>
    <w:p>
      <w:pPr>
        <w:spacing w:before="180" w:after="60"/>
      </w:pPr>
      <w:r>
        <w:rPr>
          <w:b/>
          <w:color w:val="E8B830"/>
          <w:sz w:val="21"/>
        </w:rPr>
        <w:t>Short sentences win</w:t>
      </w:r>
    </w:p>
    <w:p>
      <w:pPr>
        <w:spacing w:after="100"/>
      </w:pPr>
      <w:r>
        <w:rPr>
          <w:i w:val="0"/>
          <w:color w:val="1A1A2E"/>
          <w:sz w:val="20"/>
        </w:rPr>
        <w:t>Maximum 25 words per sentence in sales copy. No sentence with more than one comma in cold email. If you need a comma, consider two sentences.</w:t>
      </w:r>
    </w:p>
    <w:p>
      <w:pPr>
        <w:spacing w:before="180" w:after="60"/>
      </w:pPr>
      <w:r>
        <w:rPr>
          <w:b/>
          <w:color w:val="E8B830"/>
          <w:sz w:val="21"/>
        </w:rPr>
        <w:t>Never use these words</w:t>
      </w:r>
    </w:p>
    <w:p>
      <w:pPr>
        <w:spacing w:after="100"/>
      </w:pPr>
      <w:r>
        <w:rPr>
          <w:i w:val="0"/>
          <w:color w:val="1A1A2E"/>
          <w:sz w:val="20"/>
        </w:rPr>
        <w:t>'Revolutionary,' 'game-changing,' 'cutting-edge,' 'best-in-class,' 'synergies,' 'leverage,' 'ideate,' 'circle back,' 'ping me,' 'solution' (use 'system'). These words are invisible. They say nothing.</w:t>
      </w:r>
    </w:p>
    <w:p>
      <w:pPr>
        <w:spacing w:before="180" w:after="60"/>
      </w:pPr>
      <w:r>
        <w:rPr>
          <w:b/>
          <w:color w:val="E8B830"/>
          <w:sz w:val="21"/>
        </w:rPr>
        <w:t>Use their language</w:t>
      </w:r>
    </w:p>
    <w:p>
      <w:pPr>
        <w:spacing w:after="100"/>
      </w:pPr>
      <w:r>
        <w:rPr>
          <w:i w:val="0"/>
          <w:color w:val="1A1A2E"/>
          <w:sz w:val="20"/>
        </w:rPr>
        <w:t>Mirror the exact words your ICP uses about their pain. Not your framing - theirs. If they say 'pipeline is lumpy,' use 'lumpy pipeline.' Do not translate it.</w:t>
      </w:r>
    </w:p>
    <w:p>
      <w:pPr>
        <w:spacing w:before="180" w:after="60"/>
      </w:pPr>
      <w:r>
        <w:rPr>
          <w:b/>
          <w:color w:val="E8B830"/>
          <w:sz w:val="21"/>
        </w:rPr>
        <w:t>One clear ask per message</w:t>
      </w:r>
    </w:p>
    <w:p>
      <w:pPr>
        <w:spacing w:after="100"/>
      </w:pPr>
      <w:r>
        <w:rPr>
          <w:i w:val="0"/>
          <w:color w:val="1A1A2E"/>
          <w:sz w:val="20"/>
        </w:rPr>
        <w:t>Every email, LinkedIn message, and document ends with one clear next step. Not two options. Not 'feel free to.' One ask, stated directly.</w:t>
      </w:r>
    </w:p>
    <w:p>
      <w:pPr>
        <w:spacing w:before="180" w:after="60"/>
      </w:pPr>
      <w:r>
        <w:rPr>
          <w:b/>
          <w:color w:val="E8B830"/>
          <w:sz w:val="21"/>
        </w:rPr>
        <w:t>Proof follows every claim</w:t>
      </w:r>
    </w:p>
    <w:p>
      <w:pPr>
        <w:spacing w:after="100"/>
      </w:pPr>
      <w:r>
        <w:rPr>
          <w:i w:val="0"/>
          <w:color w:val="1A1A2E"/>
          <w:sz w:val="20"/>
        </w:rPr>
        <w:t>Every claim needs an immediate proof point. If you say 'we get better results,' the next sentence must be the specific number. No claim without evidence.</w:t>
      </w:r>
    </w:p>
    <w:p>
      <w:pPr>
        <w:spacing w:before="180" w:after="60"/>
      </w:pPr>
      <w:r>
        <w:rPr>
          <w:b/>
          <w:color w:val="1A1A2E"/>
          <w:sz w:val="21"/>
        </w:rPr>
        <w:t>Tone Calibration by Context</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val="clear" w:color="auto" w:fill="1A1A2E"/>
          </w:tcPr>
          <w:p>
            <w:pPr>
              <w:jc w:val="center"/>
            </w:pPr>
            <w:r/>
            <w:r>
              <w:rPr>
                <w:b/>
                <w:color w:val="FFFFFF"/>
                <w:sz w:val="18"/>
              </w:rPr>
              <w:t>Context</w:t>
            </w:r>
          </w:p>
        </w:tc>
        <w:tc>
          <w:tcPr>
            <w:tcW w:type="dxa" w:w="2592"/>
            <w:shd w:val="clear" w:color="auto" w:fill="1A1A2E"/>
          </w:tcPr>
          <w:p>
            <w:pPr>
              <w:jc w:val="center"/>
            </w:pPr>
            <w:r/>
            <w:r>
              <w:rPr>
                <w:b/>
                <w:color w:val="FFFFFF"/>
                <w:sz w:val="18"/>
              </w:rPr>
              <w:t>Tone</w:t>
            </w:r>
          </w:p>
        </w:tc>
        <w:tc>
          <w:tcPr>
            <w:tcW w:type="dxa" w:w="5040"/>
            <w:shd w:val="clear" w:color="auto" w:fill="1A1A2E"/>
          </w:tcPr>
          <w:p>
            <w:pPr>
              <w:jc w:val="center"/>
            </w:pPr>
            <w:r/>
            <w:r>
              <w:rPr>
                <w:b/>
                <w:color w:val="FFFFFF"/>
                <w:sz w:val="18"/>
              </w:rPr>
              <w:t>Example</w:t>
            </w:r>
          </w:p>
        </w:tc>
      </w:tr>
      <w:tr>
        <w:tc>
          <w:tcPr>
            <w:tcW w:type="dxa" w:w="2160"/>
            <w:shd w:val="clear" w:color="auto" w:fill="FAF6E9"/>
          </w:tcPr>
          <w:p>
            <w:pPr>
              <w:jc w:val="left"/>
            </w:pPr>
            <w:r/>
            <w:r>
              <w:rPr>
                <w:color w:val="1A1A2E"/>
                <w:sz w:val="18"/>
              </w:rPr>
              <w:t>Cold email (Day 1)</w:t>
            </w:r>
          </w:p>
        </w:tc>
        <w:tc>
          <w:tcPr>
            <w:tcW w:type="dxa" w:w="2592"/>
            <w:shd w:val="clear" w:color="auto" w:fill="FAF6E9"/>
          </w:tcPr>
          <w:p>
            <w:pPr>
              <w:jc w:val="center"/>
            </w:pPr>
            <w:r/>
            <w:r>
              <w:rPr>
                <w:color w:val="1A1A2E"/>
                <w:sz w:val="18"/>
              </w:rPr>
              <w:t>Direct, curious, respectful</w:t>
            </w:r>
          </w:p>
        </w:tc>
        <w:tc>
          <w:tcPr>
            <w:tcW w:type="dxa" w:w="5040"/>
            <w:shd w:val="clear" w:color="auto" w:fill="FAF6E9"/>
          </w:tcPr>
          <w:p>
            <w:pPr>
              <w:jc w:val="center"/>
            </w:pPr>
            <w:r/>
            <w:r>
              <w:rPr>
                <w:color w:val="1A1A2E"/>
                <w:sz w:val="18"/>
              </w:rPr>
              <w:t>'Saw [COMPANY] posted a VP Sales role. Quick question before you make that hire...'</w:t>
            </w:r>
          </w:p>
        </w:tc>
      </w:tr>
      <w:tr>
        <w:tc>
          <w:tcPr>
            <w:tcW w:type="dxa" w:w="2160"/>
            <w:shd w:val="clear" w:color="auto" w:fill="FFFFFF"/>
          </w:tcPr>
          <w:p>
            <w:pPr>
              <w:jc w:val="left"/>
            </w:pPr>
            <w:r/>
            <w:r>
              <w:rPr>
                <w:color w:val="1A1A2E"/>
                <w:sz w:val="18"/>
              </w:rPr>
              <w:t>Discovery call</w:t>
            </w:r>
          </w:p>
        </w:tc>
        <w:tc>
          <w:tcPr>
            <w:tcW w:type="dxa" w:w="2592"/>
            <w:shd w:val="clear" w:color="auto" w:fill="FFFFFF"/>
          </w:tcPr>
          <w:p>
            <w:pPr>
              <w:jc w:val="center"/>
            </w:pPr>
            <w:r/>
            <w:r>
              <w:rPr>
                <w:color w:val="1A1A2E"/>
                <w:sz w:val="18"/>
              </w:rPr>
              <w:t>Diagnostic, empathetic, confident</w:t>
            </w:r>
          </w:p>
        </w:tc>
        <w:tc>
          <w:tcPr>
            <w:tcW w:type="dxa" w:w="5040"/>
            <w:shd w:val="clear" w:color="auto" w:fill="FFFFFF"/>
          </w:tcPr>
          <w:p>
            <w:pPr>
              <w:jc w:val="center"/>
            </w:pPr>
            <w:r/>
            <w:r>
              <w:rPr>
                <w:color w:val="1A1A2E"/>
                <w:sz w:val="18"/>
              </w:rPr>
              <w:t>'Help me understand how pipeline actually works at [COMPANY] right now - not how it should.'</w:t>
            </w:r>
          </w:p>
        </w:tc>
      </w:tr>
      <w:tr>
        <w:tc>
          <w:tcPr>
            <w:tcW w:type="dxa" w:w="2160"/>
            <w:shd w:val="clear" w:color="auto" w:fill="FAF6E9"/>
          </w:tcPr>
          <w:p>
            <w:pPr>
              <w:jc w:val="left"/>
            </w:pPr>
            <w:r/>
            <w:r>
              <w:rPr>
                <w:color w:val="1A1A2E"/>
                <w:sz w:val="18"/>
              </w:rPr>
              <w:t>Proposal</w:t>
            </w:r>
          </w:p>
        </w:tc>
        <w:tc>
          <w:tcPr>
            <w:tcW w:type="dxa" w:w="2592"/>
            <w:shd w:val="clear" w:color="auto" w:fill="FAF6E9"/>
          </w:tcPr>
          <w:p>
            <w:pPr>
              <w:jc w:val="center"/>
            </w:pPr>
            <w:r/>
            <w:r>
              <w:rPr>
                <w:color w:val="1A1A2E"/>
                <w:sz w:val="18"/>
              </w:rPr>
              <w:t>Authoritative, specific, warm</w:t>
            </w:r>
          </w:p>
        </w:tc>
        <w:tc>
          <w:tcPr>
            <w:tcW w:type="dxa" w:w="5040"/>
            <w:shd w:val="clear" w:color="auto" w:fill="FAF6E9"/>
          </w:tcPr>
          <w:p>
            <w:pPr>
              <w:jc w:val="center"/>
            </w:pPr>
            <w:r/>
            <w:r>
              <w:rPr>
                <w:color w:val="1A1A2E"/>
                <w:sz w:val="18"/>
              </w:rPr>
              <w:t>'Based on what you told me on [DATE], here is the system we would build for [COMPANY].'</w:t>
            </w:r>
          </w:p>
        </w:tc>
      </w:tr>
      <w:tr>
        <w:tc>
          <w:tcPr>
            <w:tcW w:type="dxa" w:w="2160"/>
            <w:shd w:val="clear" w:color="auto" w:fill="FFFFFF"/>
          </w:tcPr>
          <w:p>
            <w:pPr>
              <w:jc w:val="left"/>
            </w:pPr>
            <w:r/>
            <w:r>
              <w:rPr>
                <w:color w:val="1A1A2E"/>
                <w:sz w:val="18"/>
              </w:rPr>
              <w:t>LinkedIn content</w:t>
            </w:r>
          </w:p>
        </w:tc>
        <w:tc>
          <w:tcPr>
            <w:tcW w:type="dxa" w:w="2592"/>
            <w:shd w:val="clear" w:color="auto" w:fill="FFFFFF"/>
          </w:tcPr>
          <w:p>
            <w:pPr>
              <w:jc w:val="center"/>
            </w:pPr>
            <w:r/>
            <w:r>
              <w:rPr>
                <w:color w:val="1A1A2E"/>
                <w:sz w:val="18"/>
              </w:rPr>
              <w:t>Insightful, first-person, story-driven</w:t>
            </w:r>
          </w:p>
        </w:tc>
        <w:tc>
          <w:tcPr>
            <w:tcW w:type="dxa" w:w="5040"/>
            <w:shd w:val="clear" w:color="auto" w:fill="FFFFFF"/>
          </w:tcPr>
          <w:p>
            <w:pPr>
              <w:jc w:val="center"/>
            </w:pPr>
            <w:r/>
            <w:r>
              <w:rPr>
                <w:color w:val="1A1A2E"/>
                <w:sz w:val="18"/>
              </w:rPr>
              <w:t>'Here is what I learned from 200 cold email sends last month...'</w:t>
            </w:r>
          </w:p>
        </w:tc>
      </w:tr>
      <w:tr>
        <w:tc>
          <w:tcPr>
            <w:tcW w:type="dxa" w:w="2160"/>
            <w:shd w:val="clear" w:color="auto" w:fill="FAF6E9"/>
          </w:tcPr>
          <w:p>
            <w:pPr>
              <w:jc w:val="left"/>
            </w:pPr>
            <w:r/>
            <w:r>
              <w:rPr>
                <w:color w:val="1A1A2E"/>
                <w:sz w:val="18"/>
              </w:rPr>
              <w:t>Client communication</w:t>
            </w:r>
          </w:p>
        </w:tc>
        <w:tc>
          <w:tcPr>
            <w:tcW w:type="dxa" w:w="2592"/>
            <w:shd w:val="clear" w:color="auto" w:fill="FAF6E9"/>
          </w:tcPr>
          <w:p>
            <w:pPr>
              <w:jc w:val="center"/>
            </w:pPr>
            <w:r/>
            <w:r>
              <w:rPr>
                <w:color w:val="1A1A2E"/>
                <w:sz w:val="18"/>
              </w:rPr>
              <w:t>Proactive, accountable, results-focused</w:t>
            </w:r>
          </w:p>
        </w:tc>
        <w:tc>
          <w:tcPr>
            <w:tcW w:type="dxa" w:w="5040"/>
            <w:shd w:val="clear" w:color="auto" w:fill="FAF6E9"/>
          </w:tcPr>
          <w:p>
            <w:pPr>
              <w:jc w:val="center"/>
            </w:pPr>
            <w:r/>
            <w:r>
              <w:rPr>
                <w:color w:val="1A1A2E"/>
                <w:sz w:val="18"/>
              </w:rPr>
              <w:t>'Quick update on this week: we sent 80 emails, got 4 replies, 1 meeting booked. Here is what we are changing...'</w:t>
            </w:r>
          </w:p>
        </w:tc>
      </w:tr>
    </w:tbl>
    <w:p/>
    <w:p>
      <w:pPr>
        <w:spacing w:before="280" w:after="80"/>
        <w:pBdr>
          <w:bottom w:val="single" w:sz="6" w:space="3" w:color="E8B830"/>
        </w:pBdr>
      </w:pPr>
      <w:r>
        <w:rPr>
          <w:b/>
          <w:color w:val="E8B830"/>
          <w:sz w:val="22"/>
        </w:rPr>
        <w:t>CHANNEL-SPECIFIC GUIDELINES</w:t>
      </w:r>
    </w:p>
    <w:p>
      <w:pPr>
        <w:spacing w:before="180" w:after="60"/>
      </w:pPr>
      <w:r>
        <w:rPr>
          <w:b/>
          <w:color w:val="1A1A2E"/>
          <w:sz w:val="21"/>
        </w:rPr>
        <w:t>Email Signatures</w:t>
      </w:r>
    </w:p>
    <w:p>
      <w:pPr>
        <w:spacing w:after="100"/>
      </w:pPr>
      <w:r>
        <w:rPr>
          <w:i w:val="0"/>
          <w:color w:val="1A1A2E"/>
          <w:sz w:val="20"/>
        </w:rPr>
        <w:t>Standard email signature format for all SELLL team members:</w:t>
      </w:r>
    </w:p>
    <w:p>
      <w:pPr>
        <w:spacing w:after="100"/>
      </w:pPr>
      <w:r>
        <w:rPr>
          <w:i w:val="0"/>
          <w:color w:val="1A1A2E"/>
          <w:sz w:val="20"/>
        </w:rPr>
        <w:t>[FULL NAME]</w:t>
        <w:br/>
        <w:t>[Title] | SELLL.io</w:t>
        <w:br/>
        <w:t>[Phone number]</w:t>
        <w:br/>
        <w:t>selll.io  |  [LinkedIn URL]</w:t>
        <w:br/>
        <w:br/>
        <w:t>P.S. We built a free 30-min pipeline audit. Book at selll.io/audit</w:t>
      </w:r>
    </w:p>
    <w:p>
      <w:pPr>
        <w:spacing w:after="100"/>
      </w:pPr>
      <w:r>
        <w:rPr>
          <w:i/>
          <w:color w:val="888888"/>
          <w:sz w:val="18"/>
        </w:rPr>
        <w:t>Rules: No inspirational quotes. No company logo in email signature (conflicts with email clients). The P.S. line stays - it generates inbound.</w:t>
      </w:r>
    </w:p>
    <w:p>
      <w:pPr>
        <w:spacing w:before="180" w:after="60"/>
      </w:pPr>
      <w:r>
        <w:rPr>
          <w:b/>
          <w:color w:val="1A1A2E"/>
          <w:sz w:val="21"/>
        </w:rPr>
        <w:t>LinkedIn Profile Standard</w:t>
      </w:r>
    </w:p>
    <w:p>
      <w:pPr>
        <w:spacing w:after="100"/>
      </w:pPr>
      <w:r>
        <w:rPr>
          <w:i w:val="0"/>
          <w:color w:val="1A1A2E"/>
          <w:sz w:val="20"/>
        </w:rPr>
        <w:t>Headline (max 220 chars): Building signal-intelligent revenue systems for B2B companies | Founder @ SELLL.io | I help founders get off the top of their own funnel</w:t>
      </w:r>
    </w:p>
    <w:p>
      <w:pPr>
        <w:spacing w:after="100"/>
      </w:pPr>
      <w:r>
        <w:rPr>
          <w:i w:val="0"/>
          <w:color w:val="1A1A2E"/>
          <w:sz w:val="20"/>
        </w:rPr>
        <w:t>About section must include: What SELLL does in one sentence, who it is for (segments), one proof point with a number, and a direct CTA to the pipeline audit.</w:t>
      </w:r>
    </w:p>
    <w:p>
      <w:pPr>
        <w:spacing w:before="180" w:after="60"/>
      </w:pPr>
      <w:r>
        <w:rPr>
          <w:b/>
          <w:color w:val="1A1A2E"/>
          <w:sz w:val="21"/>
        </w:rPr>
        <w:t>LinkedIn Content Framework</w:t>
      </w:r>
    </w:p>
    <w:p>
      <w:pPr>
        <w:spacing w:after="100"/>
      </w:pPr>
      <w:r>
        <w:rPr>
          <w:i w:val="0"/>
          <w:color w:val="1A1A2E"/>
          <w:sz w:val="20"/>
        </w:rPr>
        <w:t>Post structure (3-5 times per week for first 6 months):</w:t>
      </w:r>
    </w:p>
    <w:p>
      <w:pPr>
        <w:pStyle w:val="ListBullet"/>
        <w:spacing w:after="60"/>
      </w:pPr>
      <w:r>
        <w:rPr>
          <w:color w:val="1A1A2E"/>
          <w:sz w:val="20"/>
        </w:rPr>
        <w:t>Signal story: 'Here is a buying signal most founders miss... [1-line hook] [3-line story] [1-line CTA]'</w:t>
      </w:r>
    </w:p>
    <w:p>
      <w:pPr>
        <w:pStyle w:val="ListBullet"/>
        <w:spacing w:after="60"/>
      </w:pPr>
      <w:r>
        <w:rPr>
          <w:color w:val="1A1A2E"/>
          <w:sz w:val="20"/>
        </w:rPr>
        <w:t>Data post: 'We sent 200 cold emails last week. Here is what worked and what did not.'</w:t>
      </w:r>
    </w:p>
    <w:p>
      <w:pPr>
        <w:pStyle w:val="ListBullet"/>
        <w:spacing w:after="60"/>
      </w:pPr>
      <w:r>
        <w:rPr>
          <w:color w:val="1A1A2E"/>
          <w:sz w:val="20"/>
        </w:rPr>
        <w:t>Founder pain: 'The most common thing I hear from B2B founders: [EXACT QUOTE]. Here is why it happens.'</w:t>
      </w:r>
    </w:p>
    <w:p>
      <w:pPr>
        <w:pStyle w:val="ListBullet"/>
        <w:spacing w:after="60"/>
      </w:pPr>
      <w:r>
        <w:rPr>
          <w:color w:val="1A1A2E"/>
          <w:sz w:val="20"/>
        </w:rPr>
        <w:t>System reveal: 'This is exactly how we built a pipeline system for [TYPE OF COMPANY] in 30 days.'</w:t>
      </w:r>
    </w:p>
    <w:p>
      <w:pPr>
        <w:pStyle w:val="ListBullet"/>
        <w:spacing w:after="60"/>
      </w:pPr>
      <w:r>
        <w:rPr>
          <w:color w:val="1A1A2E"/>
          <w:sz w:val="20"/>
        </w:rPr>
        <w:t>Contrarian take: 'Hot take: your SDR team is not the problem. Here is what actually is.'</w:t>
      </w:r>
    </w:p>
    <w:p/>
    <w:p>
      <w:pPr>
        <w:jc w:val="center"/>
      </w:pPr>
      <w:r>
        <w:rPr>
          <w:i/>
          <w:color w:val="888888"/>
          <w:sz w:val="16"/>
        </w:rPr>
        <w:t>SELLL Revenue Engine  |  Brand Guidelines v1.0  |  June 2026  |  Ophir Gold Edition</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