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spacing w:after="80"/>
        <w:jc w:val="center"/>
      </w:pPr>
      <w:r>
        <w:rPr>
          <w:b/>
          <w:color w:val="1A1A2E"/>
          <w:sz w:val="40"/>
        </w:rPr>
        <w:t>SELLL.io</w:t>
      </w:r>
    </w:p>
    <w:p>
      <w:pPr>
        <w:spacing w:after="60"/>
        <w:jc w:val="center"/>
      </w:pPr>
      <w:r>
        <w:rPr>
          <w:i/>
          <w:color w:val="E8B830"/>
          <w:sz w:val="22"/>
        </w:rPr>
        <w:t>The Signal-Intelligent Revenue Engine</w:t>
      </w:r>
    </w:p>
    <w:p>
      <w:pPr>
        <w:spacing w:after="200"/>
        <w:jc w:val="center"/>
      </w:pPr>
      <w:r>
        <w:rPr>
          <w:color w:val="888888"/>
          <w:sz w:val="18"/>
        </w:rPr>
        <w:t>selll.io  |  Confidential Sales Sheet  |  June 2026</w:t>
      </w:r>
    </w:p>
    <w:p/>
    <w:p>
      <w:pPr>
        <w:spacing w:after="200"/>
        <w:jc w:val="center"/>
      </w:pPr>
      <w:r>
        <w:rPr>
          <w:b/>
          <w:color w:val="1A1A2E"/>
          <w:sz w:val="28"/>
        </w:rPr>
        <w:t>Most B2B companies generate revenue. Very few have a SYSTEM for it.</w:t>
      </w:r>
    </w:p>
    <w:p>
      <w:pPr>
        <w:spacing w:before="280" w:after="80"/>
        <w:pBdr>
          <w:bottom w:val="single" w:sz="6" w:space="3" w:color="E8B830"/>
        </w:pBdr>
      </w:pPr>
      <w:r>
        <w:rPr>
          <w:b/>
          <w:color w:val="E8B830"/>
          <w:sz w:val="22"/>
        </w:rPr>
        <w:t>THE PROBLEM WE SOLVE</w:t>
      </w:r>
    </w:p>
    <w:tbl>
      <w:tblPr>
        <w:tblStyle w:val="TableGrid"/>
        <w:tblW w:type="auto" w:w="0"/>
        <w:jc w:val="center"/>
        <w:tblLook w:firstColumn="1" w:firstRow="1" w:lastColumn="0" w:lastRow="0" w:noHBand="0" w:noVBand="1" w:val="04A0"/>
      </w:tblPr>
      <w:tblGrid>
        <w:gridCol w:w="4986"/>
        <w:gridCol w:w="4986"/>
      </w:tblGrid>
      <w:tr>
        <w:tc>
          <w:tcPr>
            <w:tcW w:type="dxa" w:w="5472"/>
            <w:shd w:val="clear" w:color="auto" w:fill="1A1A2E"/>
          </w:tcPr>
          <w:p>
            <w:pPr>
              <w:jc w:val="center"/>
            </w:pPr>
            <w:r/>
            <w:r>
              <w:rPr>
                <w:b/>
                <w:color w:val="FFFFFF"/>
                <w:sz w:val="18"/>
              </w:rPr>
              <w:t>The Reality for Most B2B Teams</w:t>
            </w:r>
          </w:p>
        </w:tc>
        <w:tc>
          <w:tcPr>
            <w:tcW w:type="dxa" w:w="3456"/>
            <w:shd w:val="clear" w:color="auto" w:fill="1A1A2E"/>
          </w:tcPr>
          <w:p>
            <w:pPr>
              <w:jc w:val="center"/>
            </w:pPr>
            <w:r/>
            <w:r>
              <w:rPr>
                <w:b/>
                <w:color w:val="FFFFFF"/>
                <w:sz w:val="18"/>
              </w:rPr>
              <w:t>The Cost</w:t>
            </w:r>
          </w:p>
        </w:tc>
      </w:tr>
      <w:tr>
        <w:tc>
          <w:tcPr>
            <w:tcW w:type="dxa" w:w="5472"/>
            <w:shd w:val="clear" w:color="auto" w:fill="FAF6E9"/>
          </w:tcPr>
          <w:p>
            <w:pPr>
              <w:jc w:val="left"/>
            </w:pPr>
            <w:r/>
            <w:r>
              <w:rPr>
                <w:color w:val="1A1A2E"/>
                <w:sz w:val="18"/>
              </w:rPr>
              <w:t>Founder closes 70% of deals personally - nothing moves without them</w:t>
            </w:r>
          </w:p>
        </w:tc>
        <w:tc>
          <w:tcPr>
            <w:tcW w:type="dxa" w:w="3456"/>
            <w:shd w:val="clear" w:color="auto" w:fill="FAF6E9"/>
          </w:tcPr>
          <w:p>
            <w:pPr>
              <w:jc w:val="center"/>
            </w:pPr>
            <w:r/>
            <w:r>
              <w:rPr>
                <w:color w:val="1A1A2E"/>
                <w:sz w:val="18"/>
              </w:rPr>
              <w:t>Revenue ceiling = founder's calendar</w:t>
            </w:r>
          </w:p>
        </w:tc>
      </w:tr>
      <w:tr>
        <w:tc>
          <w:tcPr>
            <w:tcW w:type="dxa" w:w="5472"/>
            <w:shd w:val="clear" w:color="auto" w:fill="FFFFFF"/>
          </w:tcPr>
          <w:p>
            <w:pPr>
              <w:jc w:val="left"/>
            </w:pPr>
            <w:r/>
            <w:r>
              <w:rPr>
                <w:color w:val="1A1A2E"/>
                <w:sz w:val="18"/>
              </w:rPr>
              <w:t>Cold sequences get 0.3% reply rates - no signal layer, just spray</w:t>
            </w:r>
          </w:p>
        </w:tc>
        <w:tc>
          <w:tcPr>
            <w:tcW w:type="dxa" w:w="3456"/>
            <w:shd w:val="clear" w:color="auto" w:fill="FFFFFF"/>
          </w:tcPr>
          <w:p>
            <w:pPr>
              <w:jc w:val="center"/>
            </w:pPr>
            <w:r/>
            <w:r>
              <w:rPr>
                <w:color w:val="1A1A2E"/>
                <w:sz w:val="18"/>
              </w:rPr>
              <w:t>$3K/mo in tools, 0 pipeline to show</w:t>
            </w:r>
          </w:p>
        </w:tc>
      </w:tr>
      <w:tr>
        <w:tc>
          <w:tcPr>
            <w:tcW w:type="dxa" w:w="5472"/>
            <w:shd w:val="clear" w:color="auto" w:fill="FAF6E9"/>
          </w:tcPr>
          <w:p>
            <w:pPr>
              <w:jc w:val="left"/>
            </w:pPr>
            <w:r/>
            <w:r>
              <w:rPr>
                <w:color w:val="1A1A2E"/>
                <w:sz w:val="18"/>
              </w:rPr>
              <w:t>Hired an SDR - took 6 months to ramp, left 14 months in</w:t>
            </w:r>
          </w:p>
        </w:tc>
        <w:tc>
          <w:tcPr>
            <w:tcW w:type="dxa" w:w="3456"/>
            <w:shd w:val="clear" w:color="auto" w:fill="FAF6E9"/>
          </w:tcPr>
          <w:p>
            <w:pPr>
              <w:jc w:val="center"/>
            </w:pPr>
            <w:r/>
            <w:r>
              <w:rPr>
                <w:color w:val="1A1A2E"/>
                <w:sz w:val="18"/>
              </w:rPr>
              <w:t>$150K spent. Back to zero.</w:t>
            </w:r>
          </w:p>
        </w:tc>
      </w:tr>
      <w:tr>
        <w:tc>
          <w:tcPr>
            <w:tcW w:type="dxa" w:w="5472"/>
            <w:shd w:val="clear" w:color="auto" w:fill="FFFFFF"/>
          </w:tcPr>
          <w:p>
            <w:pPr>
              <w:jc w:val="left"/>
            </w:pPr>
            <w:r/>
            <w:r>
              <w:rPr>
                <w:color w:val="1A1A2E"/>
                <w:sz w:val="18"/>
              </w:rPr>
              <w:t>Has Apollo, HubSpot, Instantly - but no intelligence above the tools</w:t>
            </w:r>
          </w:p>
        </w:tc>
        <w:tc>
          <w:tcPr>
            <w:tcW w:type="dxa" w:w="3456"/>
            <w:shd w:val="clear" w:color="auto" w:fill="FFFFFF"/>
          </w:tcPr>
          <w:p>
            <w:pPr>
              <w:jc w:val="center"/>
            </w:pPr>
            <w:r/>
            <w:r>
              <w:rPr>
                <w:color w:val="1A1A2E"/>
                <w:sz w:val="18"/>
              </w:rPr>
              <w:t>Stack without a brain = expensive noise</w:t>
            </w:r>
          </w:p>
        </w:tc>
      </w:tr>
    </w:tbl>
    <w:p/>
    <w:p>
      <w:pPr>
        <w:spacing w:before="280" w:after="80"/>
        <w:pBdr>
          <w:bottom w:val="single" w:sz="6" w:space="3" w:color="E8B830"/>
        </w:pBdr>
      </w:pPr>
      <w:r>
        <w:rPr>
          <w:b/>
          <w:color w:val="E8B830"/>
          <w:sz w:val="22"/>
        </w:rPr>
        <w:t>WHAT SELLL DOES</w:t>
      </w:r>
    </w:p>
    <w:p>
      <w:pPr>
        <w:spacing w:after="100"/>
      </w:pPr>
      <w:r>
        <w:rPr>
          <w:i w:val="0"/>
          <w:color w:val="1A1A2E"/>
          <w:sz w:val="20"/>
        </w:rPr>
        <w:t>SELLL builds the signal-intelligent outbound system your team cannot build alone and your budget cannot justify hiring for. We monitor 40+ real-time buying signals - funding, hiring, exec changes, product launches, intent - and trigger hyper-personalised multi-channel sequences at the exact moment each prospect is most likely to respond.</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val="clear" w:color="auto" w:fill="1A1A2E"/>
          </w:tcPr>
          <w:p>
            <w:pPr>
              <w:jc w:val="center"/>
            </w:pPr>
            <w:r/>
            <w:r>
              <w:rPr>
                <w:b/>
                <w:color w:val="FFFFFF"/>
                <w:sz w:val="18"/>
              </w:rPr>
              <w:t>Layer</w:t>
            </w:r>
          </w:p>
        </w:tc>
        <w:tc>
          <w:tcPr>
            <w:tcW w:type="dxa" w:w="3456"/>
            <w:shd w:val="clear" w:color="auto" w:fill="1A1A2E"/>
          </w:tcPr>
          <w:p>
            <w:pPr>
              <w:jc w:val="center"/>
            </w:pPr>
            <w:r/>
            <w:r>
              <w:rPr>
                <w:b/>
                <w:color w:val="FFFFFF"/>
                <w:sz w:val="18"/>
              </w:rPr>
              <w:t>What It Does</w:t>
            </w:r>
          </w:p>
        </w:tc>
        <w:tc>
          <w:tcPr>
            <w:tcW w:type="dxa" w:w="2880"/>
            <w:shd w:val="clear" w:color="auto" w:fill="1A1A2E"/>
          </w:tcPr>
          <w:p>
            <w:pPr>
              <w:jc w:val="center"/>
            </w:pPr>
            <w:r/>
            <w:r>
              <w:rPr>
                <w:b/>
                <w:color w:val="FFFFFF"/>
                <w:sz w:val="18"/>
              </w:rPr>
              <w:t>Why It Matters</w:t>
            </w:r>
          </w:p>
        </w:tc>
      </w:tr>
      <w:tr>
        <w:tc>
          <w:tcPr>
            <w:tcW w:type="dxa" w:w="2592"/>
            <w:shd w:val="clear" w:color="auto" w:fill="FAF6E9"/>
          </w:tcPr>
          <w:p>
            <w:pPr>
              <w:jc w:val="left"/>
            </w:pPr>
            <w:r/>
            <w:r>
              <w:rPr>
                <w:color w:val="1A1A2E"/>
                <w:sz w:val="18"/>
              </w:rPr>
              <w:t>Signal Intelligence</w:t>
            </w:r>
          </w:p>
        </w:tc>
        <w:tc>
          <w:tcPr>
            <w:tcW w:type="dxa" w:w="3456"/>
            <w:shd w:val="clear" w:color="auto" w:fill="FAF6E9"/>
          </w:tcPr>
          <w:p>
            <w:pPr>
              <w:jc w:val="center"/>
            </w:pPr>
            <w:r/>
            <w:r>
              <w:rPr>
                <w:color w:val="1A1A2E"/>
                <w:sz w:val="18"/>
              </w:rPr>
              <w:t>40+ real-time trigger feeds monitored continuously</w:t>
            </w:r>
          </w:p>
        </w:tc>
        <w:tc>
          <w:tcPr>
            <w:tcW w:type="dxa" w:w="2880"/>
            <w:shd w:val="clear" w:color="auto" w:fill="FAF6E9"/>
          </w:tcPr>
          <w:p>
            <w:pPr>
              <w:jc w:val="center"/>
            </w:pPr>
            <w:r/>
            <w:r>
              <w:rPr>
                <w:color w:val="1A1A2E"/>
                <w:sz w:val="18"/>
              </w:rPr>
              <w:t>Sequences fire when buyers are in-market, not on a calendar</w:t>
            </w:r>
          </w:p>
        </w:tc>
      </w:tr>
      <w:tr>
        <w:tc>
          <w:tcPr>
            <w:tcW w:type="dxa" w:w="2592"/>
            <w:shd w:val="clear" w:color="auto" w:fill="FFFFFF"/>
          </w:tcPr>
          <w:p>
            <w:pPr>
              <w:jc w:val="left"/>
            </w:pPr>
            <w:r/>
            <w:r>
              <w:rPr>
                <w:color w:val="1A1A2E"/>
                <w:sz w:val="18"/>
              </w:rPr>
              <w:t>ICP Scoring Engine</w:t>
            </w:r>
          </w:p>
        </w:tc>
        <w:tc>
          <w:tcPr>
            <w:tcW w:type="dxa" w:w="3456"/>
            <w:shd w:val="clear" w:color="auto" w:fill="FFFFFF"/>
          </w:tcPr>
          <w:p>
            <w:pPr>
              <w:jc w:val="center"/>
            </w:pPr>
            <w:r/>
            <w:r>
              <w:rPr>
                <w:color w:val="1A1A2E"/>
                <w:sz w:val="18"/>
              </w:rPr>
              <w:t>Every prospect scored against 100-pt rubric before any outreach</w:t>
            </w:r>
          </w:p>
        </w:tc>
        <w:tc>
          <w:tcPr>
            <w:tcW w:type="dxa" w:w="2880"/>
            <w:shd w:val="clear" w:color="auto" w:fill="FFFFFF"/>
          </w:tcPr>
          <w:p>
            <w:pPr>
              <w:jc w:val="center"/>
            </w:pPr>
            <w:r/>
            <w:r>
              <w:rPr>
                <w:color w:val="1A1A2E"/>
                <w:sz w:val="18"/>
              </w:rPr>
              <w:t>Zero budget wasted on accounts that will never close</w:t>
            </w:r>
          </w:p>
        </w:tc>
      </w:tr>
      <w:tr>
        <w:tc>
          <w:tcPr>
            <w:tcW w:type="dxa" w:w="2592"/>
            <w:shd w:val="clear" w:color="auto" w:fill="FAF6E9"/>
          </w:tcPr>
          <w:p>
            <w:pPr>
              <w:jc w:val="left"/>
            </w:pPr>
            <w:r/>
            <w:r>
              <w:rPr>
                <w:color w:val="1A1A2E"/>
                <w:sz w:val="18"/>
              </w:rPr>
              <w:t>AI Orchestration</w:t>
            </w:r>
          </w:p>
        </w:tc>
        <w:tc>
          <w:tcPr>
            <w:tcW w:type="dxa" w:w="3456"/>
            <w:shd w:val="clear" w:color="auto" w:fill="FAF6E9"/>
          </w:tcPr>
          <w:p>
            <w:pPr>
              <w:jc w:val="center"/>
            </w:pPr>
            <w:r/>
            <w:r>
              <w:rPr>
                <w:color w:val="1A1A2E"/>
                <w:sz w:val="18"/>
              </w:rPr>
              <w:t>Email + LinkedIn + cold call coordinated per signal type</w:t>
            </w:r>
          </w:p>
        </w:tc>
        <w:tc>
          <w:tcPr>
            <w:tcW w:type="dxa" w:w="2880"/>
            <w:shd w:val="clear" w:color="auto" w:fill="FAF6E9"/>
          </w:tcPr>
          <w:p>
            <w:pPr>
              <w:jc w:val="center"/>
            </w:pPr>
            <w:r/>
            <w:r>
              <w:rPr>
                <w:color w:val="1A1A2E"/>
                <w:sz w:val="18"/>
              </w:rPr>
              <w:t>Every touchpoint earns the next one - no more spray-and-pray</w:t>
            </w:r>
          </w:p>
        </w:tc>
      </w:tr>
      <w:tr>
        <w:tc>
          <w:tcPr>
            <w:tcW w:type="dxa" w:w="2592"/>
            <w:shd w:val="clear" w:color="auto" w:fill="FFFFFF"/>
          </w:tcPr>
          <w:p>
            <w:pPr>
              <w:jc w:val="left"/>
            </w:pPr>
            <w:r/>
            <w:r>
              <w:rPr>
                <w:color w:val="1A1A2E"/>
                <w:sz w:val="18"/>
              </w:rPr>
              <w:t>Optimisation Loop</w:t>
            </w:r>
          </w:p>
        </w:tc>
        <w:tc>
          <w:tcPr>
            <w:tcW w:type="dxa" w:w="3456"/>
            <w:shd w:val="clear" w:color="auto" w:fill="FFFFFF"/>
          </w:tcPr>
          <w:p>
            <w:pPr>
              <w:jc w:val="center"/>
            </w:pPr>
            <w:r/>
            <w:r>
              <w:rPr>
                <w:color w:val="1A1A2E"/>
                <w:sz w:val="18"/>
              </w:rPr>
              <w:t>Weekly A/B analysis + monthly ICP recalibration</w:t>
            </w:r>
          </w:p>
        </w:tc>
        <w:tc>
          <w:tcPr>
            <w:tcW w:type="dxa" w:w="2880"/>
            <w:shd w:val="clear" w:color="auto" w:fill="FFFFFF"/>
          </w:tcPr>
          <w:p>
            <w:pPr>
              <w:jc w:val="center"/>
            </w:pPr>
            <w:r/>
            <w:r>
              <w:rPr>
                <w:color w:val="1A1A2E"/>
                <w:sz w:val="18"/>
              </w:rPr>
              <w:t>The system gets smarter every week - permanently</w:t>
            </w:r>
          </w:p>
        </w:tc>
      </w:tr>
    </w:tbl>
    <w:p/>
    <w:p>
      <w:pPr>
        <w:spacing w:before="280" w:after="80"/>
        <w:pBdr>
          <w:bottom w:val="single" w:sz="6" w:space="3" w:color="E8B830"/>
        </w:pBdr>
      </w:pPr>
      <w:r>
        <w:rPr>
          <w:b/>
          <w:color w:val="E8B830"/>
          <w:sz w:val="22"/>
        </w:rPr>
        <w:t>THE RESULTS</w:t>
      </w:r>
    </w:p>
    <w:tbl>
      <w:tblPr>
        <w:tblStyle w:val="TableGrid"/>
        <w:tblW w:type="auto" w:w="0"/>
        <w:jc w:val="center"/>
        <w:tblLook w:firstColumn="1" w:firstRow="1" w:lastColumn="0" w:lastRow="0" w:noHBand="0" w:noVBand="1" w:val="04A0"/>
      </w:tblPr>
      <w:tblGrid>
        <w:gridCol w:w="3324"/>
        <w:gridCol w:w="3324"/>
        <w:gridCol w:w="3324"/>
      </w:tblGrid>
      <w:tr>
        <w:tc>
          <w:tcPr>
            <w:tcW w:type="dxa" w:w="3168"/>
            <w:shd w:val="clear" w:color="auto" w:fill="1A1A2E"/>
          </w:tcPr>
          <w:p>
            <w:pPr>
              <w:jc w:val="center"/>
            </w:pPr>
            <w:r/>
            <w:r>
              <w:rPr>
                <w:b/>
                <w:color w:val="FFFFFF"/>
                <w:sz w:val="18"/>
              </w:rPr>
              <w:t>Metric</w:t>
            </w:r>
          </w:p>
        </w:tc>
        <w:tc>
          <w:tcPr>
            <w:tcW w:type="dxa" w:w="2592"/>
            <w:shd w:val="clear" w:color="auto" w:fill="1A1A2E"/>
          </w:tcPr>
          <w:p>
            <w:pPr>
              <w:jc w:val="center"/>
            </w:pPr>
            <w:r/>
            <w:r>
              <w:rPr>
                <w:b/>
                <w:color w:val="FFFFFF"/>
                <w:sz w:val="18"/>
              </w:rPr>
              <w:t>Industry Average</w:t>
            </w:r>
          </w:p>
        </w:tc>
        <w:tc>
          <w:tcPr>
            <w:tcW w:type="dxa" w:w="2592"/>
            <w:shd w:val="clear" w:color="auto" w:fill="1A1A2E"/>
          </w:tcPr>
          <w:p>
            <w:pPr>
              <w:jc w:val="center"/>
            </w:pPr>
            <w:r/>
            <w:r>
              <w:rPr>
                <w:b/>
                <w:color w:val="FFFFFF"/>
                <w:sz w:val="18"/>
              </w:rPr>
              <w:t>SELLL Clients</w:t>
            </w:r>
          </w:p>
        </w:tc>
      </w:tr>
      <w:tr>
        <w:tc>
          <w:tcPr>
            <w:tcW w:type="dxa" w:w="3168"/>
            <w:shd w:val="clear" w:color="auto" w:fill="FAF6E9"/>
          </w:tcPr>
          <w:p>
            <w:pPr>
              <w:jc w:val="left"/>
            </w:pPr>
            <w:r/>
            <w:r>
              <w:rPr>
                <w:color w:val="1A1A2E"/>
                <w:sz w:val="18"/>
              </w:rPr>
              <w:t>Cold email reply rate</w:t>
            </w:r>
          </w:p>
        </w:tc>
        <w:tc>
          <w:tcPr>
            <w:tcW w:type="dxa" w:w="2592"/>
            <w:shd w:val="clear" w:color="auto" w:fill="FAF6E9"/>
          </w:tcPr>
          <w:p>
            <w:pPr>
              <w:jc w:val="center"/>
            </w:pPr>
            <w:r/>
            <w:r>
              <w:rPr>
                <w:color w:val="1A1A2E"/>
                <w:sz w:val="18"/>
              </w:rPr>
              <w:t>0.3%</w:t>
            </w:r>
          </w:p>
        </w:tc>
        <w:tc>
          <w:tcPr>
            <w:tcW w:type="dxa" w:w="2592"/>
            <w:shd w:val="clear" w:color="auto" w:fill="FAF6E9"/>
          </w:tcPr>
          <w:p>
            <w:pPr>
              <w:jc w:val="center"/>
            </w:pPr>
            <w:r/>
            <w:r>
              <w:rPr>
                <w:color w:val="1A1A2E"/>
                <w:sz w:val="18"/>
              </w:rPr>
              <w:t>3.8-5.2%</w:t>
            </w:r>
          </w:p>
        </w:tc>
      </w:tr>
      <w:tr>
        <w:tc>
          <w:tcPr>
            <w:tcW w:type="dxa" w:w="3168"/>
            <w:shd w:val="clear" w:color="auto" w:fill="FFFFFF"/>
          </w:tcPr>
          <w:p>
            <w:pPr>
              <w:jc w:val="left"/>
            </w:pPr>
            <w:r/>
            <w:r>
              <w:rPr>
                <w:color w:val="1A1A2E"/>
                <w:sz w:val="18"/>
              </w:rPr>
              <w:t>Days to first qualified meeting</w:t>
            </w:r>
          </w:p>
        </w:tc>
        <w:tc>
          <w:tcPr>
            <w:tcW w:type="dxa" w:w="2592"/>
            <w:shd w:val="clear" w:color="auto" w:fill="FFFFFF"/>
          </w:tcPr>
          <w:p>
            <w:pPr>
              <w:jc w:val="center"/>
            </w:pPr>
            <w:r/>
            <w:r>
              <w:rPr>
                <w:color w:val="1A1A2E"/>
                <w:sz w:val="18"/>
              </w:rPr>
              <w:t>60-90 days</w:t>
            </w:r>
          </w:p>
        </w:tc>
        <w:tc>
          <w:tcPr>
            <w:tcW w:type="dxa" w:w="2592"/>
            <w:shd w:val="clear" w:color="auto" w:fill="FFFFFF"/>
          </w:tcPr>
          <w:p>
            <w:pPr>
              <w:jc w:val="center"/>
            </w:pPr>
            <w:r/>
            <w:r>
              <w:rPr>
                <w:color w:val="1A1A2E"/>
                <w:sz w:val="18"/>
              </w:rPr>
              <w:t>14-22 days</w:t>
            </w:r>
          </w:p>
        </w:tc>
      </w:tr>
      <w:tr>
        <w:tc>
          <w:tcPr>
            <w:tcW w:type="dxa" w:w="3168"/>
            <w:shd w:val="clear" w:color="auto" w:fill="FAF6E9"/>
          </w:tcPr>
          <w:p>
            <w:pPr>
              <w:jc w:val="left"/>
            </w:pPr>
            <w:r/>
            <w:r>
              <w:rPr>
                <w:color w:val="1A1A2E"/>
                <w:sz w:val="18"/>
              </w:rPr>
              <w:t>Meetings booked per month</w:t>
            </w:r>
          </w:p>
        </w:tc>
        <w:tc>
          <w:tcPr>
            <w:tcW w:type="dxa" w:w="2592"/>
            <w:shd w:val="clear" w:color="auto" w:fill="FAF6E9"/>
          </w:tcPr>
          <w:p>
            <w:pPr>
              <w:jc w:val="center"/>
            </w:pPr>
            <w:r/>
            <w:r>
              <w:rPr>
                <w:color w:val="1A1A2E"/>
                <w:sz w:val="18"/>
              </w:rPr>
              <w:t>2-4 (with 1 SDR)</w:t>
            </w:r>
          </w:p>
        </w:tc>
        <w:tc>
          <w:tcPr>
            <w:tcW w:type="dxa" w:w="2592"/>
            <w:shd w:val="clear" w:color="auto" w:fill="FAF6E9"/>
          </w:tcPr>
          <w:p>
            <w:pPr>
              <w:jc w:val="center"/>
            </w:pPr>
            <w:r/>
            <w:r>
              <w:rPr>
                <w:color w:val="1A1A2E"/>
                <w:sz w:val="18"/>
              </w:rPr>
              <w:t>8-14 (system only)</w:t>
            </w:r>
          </w:p>
        </w:tc>
      </w:tr>
      <w:tr>
        <w:tc>
          <w:tcPr>
            <w:tcW w:type="dxa" w:w="3168"/>
            <w:shd w:val="clear" w:color="auto" w:fill="FFFFFF"/>
          </w:tcPr>
          <w:p>
            <w:pPr>
              <w:jc w:val="left"/>
            </w:pPr>
            <w:r/>
            <w:r>
              <w:rPr>
                <w:color w:val="1A1A2E"/>
                <w:sz w:val="18"/>
              </w:rPr>
              <w:t>Cost per qualified meeting</w:t>
            </w:r>
          </w:p>
        </w:tc>
        <w:tc>
          <w:tcPr>
            <w:tcW w:type="dxa" w:w="2592"/>
            <w:shd w:val="clear" w:color="auto" w:fill="FFFFFF"/>
          </w:tcPr>
          <w:p>
            <w:pPr>
              <w:jc w:val="center"/>
            </w:pPr>
            <w:r/>
            <w:r>
              <w:rPr>
                <w:color w:val="1A1A2E"/>
                <w:sz w:val="18"/>
              </w:rPr>
              <w:t>$850-$1,400</w:t>
            </w:r>
          </w:p>
        </w:tc>
        <w:tc>
          <w:tcPr>
            <w:tcW w:type="dxa" w:w="2592"/>
            <w:shd w:val="clear" w:color="auto" w:fill="FFFFFF"/>
          </w:tcPr>
          <w:p>
            <w:pPr>
              <w:jc w:val="center"/>
            </w:pPr>
            <w:r/>
            <w:r>
              <w:rPr>
                <w:color w:val="1A1A2E"/>
                <w:sz w:val="18"/>
              </w:rPr>
              <w:t>$200-$420</w:t>
            </w:r>
          </w:p>
        </w:tc>
      </w:tr>
      <w:tr>
        <w:tc>
          <w:tcPr>
            <w:tcW w:type="dxa" w:w="3168"/>
            <w:shd w:val="clear" w:color="auto" w:fill="FAF6E9"/>
          </w:tcPr>
          <w:p>
            <w:pPr>
              <w:jc w:val="left"/>
            </w:pPr>
            <w:r/>
            <w:r>
              <w:rPr>
                <w:color w:val="1A1A2E"/>
                <w:sz w:val="18"/>
              </w:rPr>
              <w:t>Time to positive ROI</w:t>
            </w:r>
          </w:p>
        </w:tc>
        <w:tc>
          <w:tcPr>
            <w:tcW w:type="dxa" w:w="2592"/>
            <w:shd w:val="clear" w:color="auto" w:fill="FAF6E9"/>
          </w:tcPr>
          <w:p>
            <w:pPr>
              <w:jc w:val="center"/>
            </w:pPr>
            <w:r/>
            <w:r>
              <w:rPr>
                <w:color w:val="1A1A2E"/>
                <w:sz w:val="18"/>
              </w:rPr>
              <w:t>9-18 months</w:t>
            </w:r>
          </w:p>
        </w:tc>
        <w:tc>
          <w:tcPr>
            <w:tcW w:type="dxa" w:w="2592"/>
            <w:shd w:val="clear" w:color="auto" w:fill="FAF6E9"/>
          </w:tcPr>
          <w:p>
            <w:pPr>
              <w:jc w:val="center"/>
            </w:pPr>
            <w:r/>
            <w:r>
              <w:rPr>
                <w:color w:val="1A1A2E"/>
                <w:sz w:val="18"/>
              </w:rPr>
              <w:t>30-45 days</w:t>
            </w:r>
          </w:p>
        </w:tc>
      </w:tr>
    </w:tbl>
    <w:p/>
    <w:p>
      <w:pPr>
        <w:spacing w:before="280" w:after="80"/>
        <w:pBdr>
          <w:bottom w:val="single" w:sz="6" w:space="3" w:color="E8B830"/>
        </w:pBdr>
      </w:pPr>
      <w:r>
        <w:rPr>
          <w:b/>
          <w:color w:val="E8B830"/>
          <w:sz w:val="22"/>
        </w:rPr>
        <w:t>WHO THIS IS BUILT FOR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48"/>
            <w:shd w:val="clear" w:color="auto" w:fill="1A1A2E"/>
          </w:tcPr>
          <w:p>
            <w:pPr>
              <w:jc w:val="center"/>
            </w:pPr>
            <w:r/>
            <w:r>
              <w:rPr>
                <w:b/>
                <w:color w:val="FFFFFF"/>
                <w:sz w:val="18"/>
              </w:rPr>
              <w:t>Segment</w:t>
            </w:r>
          </w:p>
        </w:tc>
        <w:tc>
          <w:tcPr>
            <w:tcW w:type="dxa" w:w="1008"/>
            <w:shd w:val="clear" w:color="auto" w:fill="1A1A2E"/>
          </w:tcPr>
          <w:p>
            <w:pPr>
              <w:jc w:val="center"/>
            </w:pPr>
            <w:r/>
            <w:r>
              <w:rPr>
                <w:b/>
                <w:color w:val="FFFFFF"/>
                <w:sz w:val="18"/>
              </w:rPr>
              <w:t>Size</w:t>
            </w:r>
          </w:p>
        </w:tc>
        <w:tc>
          <w:tcPr>
            <w:tcW w:type="dxa" w:w="1584"/>
            <w:shd w:val="clear" w:color="auto" w:fill="1A1A2E"/>
          </w:tcPr>
          <w:p>
            <w:pPr>
              <w:jc w:val="center"/>
            </w:pPr>
            <w:r/>
            <w:r>
              <w:rPr>
                <w:b/>
                <w:color w:val="FFFFFF"/>
                <w:sz w:val="18"/>
              </w:rPr>
              <w:t>ARR</w:t>
            </w:r>
          </w:p>
        </w:tc>
        <w:tc>
          <w:tcPr>
            <w:tcW w:type="dxa" w:w="3888"/>
            <w:shd w:val="clear" w:color="auto" w:fill="1A1A2E"/>
          </w:tcPr>
          <w:p>
            <w:pPr>
              <w:jc w:val="center"/>
            </w:pPr>
            <w:r/>
            <w:r>
              <w:rPr>
                <w:b/>
                <w:color w:val="FFFFFF"/>
                <w:sz w:val="18"/>
              </w:rPr>
              <w:t>The Problem We Fix</w:t>
            </w:r>
          </w:p>
        </w:tc>
      </w:tr>
      <w:tr>
        <w:tc>
          <w:tcPr>
            <w:tcW w:type="dxa" w:w="2448"/>
            <w:shd w:val="clear" w:color="auto" w:fill="FAF6E9"/>
          </w:tcPr>
          <w:p>
            <w:pPr>
              <w:jc w:val="left"/>
            </w:pPr>
            <w:r/>
            <w:r>
              <w:rPr>
                <w:color w:val="1A1A2E"/>
                <w:sz w:val="18"/>
              </w:rPr>
              <w:t>Solo / Micro (S1)</w:t>
            </w:r>
          </w:p>
        </w:tc>
        <w:tc>
          <w:tcPr>
            <w:tcW w:type="dxa" w:w="1008"/>
            <w:shd w:val="clear" w:color="auto" w:fill="FAF6E9"/>
          </w:tcPr>
          <w:p>
            <w:pPr>
              <w:jc w:val="center"/>
            </w:pPr>
            <w:r/>
            <w:r>
              <w:rPr>
                <w:color w:val="1A1A2E"/>
                <w:sz w:val="18"/>
              </w:rPr>
              <w:t>1-10</w:t>
            </w:r>
          </w:p>
        </w:tc>
        <w:tc>
          <w:tcPr>
            <w:tcW w:type="dxa" w:w="1584"/>
            <w:shd w:val="clear" w:color="auto" w:fill="FAF6E9"/>
          </w:tcPr>
          <w:p>
            <w:pPr>
              <w:jc w:val="center"/>
            </w:pPr>
            <w:r/>
            <w:r>
              <w:rPr>
                <w:color w:val="1A1A2E"/>
                <w:sz w:val="18"/>
              </w:rPr>
              <w:t>$0-$1M</w:t>
            </w:r>
          </w:p>
        </w:tc>
        <w:tc>
          <w:tcPr>
            <w:tcW w:type="dxa" w:w="3888"/>
            <w:shd w:val="clear" w:color="auto" w:fill="FAF6E9"/>
          </w:tcPr>
          <w:p>
            <w:pPr>
              <w:jc w:val="center"/>
            </w:pPr>
            <w:r/>
            <w:r>
              <w:rPr>
                <w:color w:val="1A1A2E"/>
                <w:sz w:val="18"/>
              </w:rPr>
              <w:t>Founder-led sales hitting a hard ceiling</w:t>
            </w:r>
          </w:p>
        </w:tc>
      </w:tr>
      <w:tr>
        <w:tc>
          <w:tcPr>
            <w:tcW w:type="dxa" w:w="2448"/>
            <w:shd w:val="clear" w:color="auto" w:fill="FFFFFF"/>
          </w:tcPr>
          <w:p>
            <w:pPr>
              <w:jc w:val="left"/>
            </w:pPr>
            <w:r/>
            <w:r>
              <w:rPr>
                <w:color w:val="1A1A2E"/>
                <w:sz w:val="18"/>
              </w:rPr>
              <w:t>Growth No-Sales (S2)</w:t>
            </w:r>
          </w:p>
        </w:tc>
        <w:tc>
          <w:tcPr>
            <w:tcW w:type="dxa" w:w="1008"/>
            <w:shd w:val="clear" w:color="auto" w:fill="FFFFFF"/>
          </w:tcPr>
          <w:p>
            <w:pPr>
              <w:jc w:val="center"/>
            </w:pPr>
            <w:r/>
            <w:r>
              <w:rPr>
                <w:color w:val="1A1A2E"/>
                <w:sz w:val="18"/>
              </w:rPr>
              <w:t>10-50</w:t>
            </w:r>
          </w:p>
        </w:tc>
        <w:tc>
          <w:tcPr>
            <w:tcW w:type="dxa" w:w="1584"/>
            <w:shd w:val="clear" w:color="auto" w:fill="FFFFFF"/>
          </w:tcPr>
          <w:p>
            <w:pPr>
              <w:jc w:val="center"/>
            </w:pPr>
            <w:r/>
            <w:r>
              <w:rPr>
                <w:color w:val="1A1A2E"/>
                <w:sz w:val="18"/>
              </w:rPr>
              <w:t>$500K-$5M</w:t>
            </w:r>
          </w:p>
        </w:tc>
        <w:tc>
          <w:tcPr>
            <w:tcW w:type="dxa" w:w="3888"/>
            <w:shd w:val="clear" w:color="auto" w:fill="FFFFFF"/>
          </w:tcPr>
          <w:p>
            <w:pPr>
              <w:jc w:val="center"/>
            </w:pPr>
            <w:r/>
            <w:r>
              <w:rPr>
                <w:color w:val="1A1A2E"/>
                <w:sz w:val="18"/>
              </w:rPr>
              <w:t>Referral-dependent, no outbound motion</w:t>
            </w:r>
          </w:p>
        </w:tc>
      </w:tr>
      <w:tr>
        <w:tc>
          <w:tcPr>
            <w:tcW w:type="dxa" w:w="2448"/>
            <w:shd w:val="clear" w:color="auto" w:fill="FAF6E9"/>
          </w:tcPr>
          <w:p>
            <w:pPr>
              <w:jc w:val="left"/>
            </w:pPr>
            <w:r/>
            <w:r>
              <w:rPr>
                <w:color w:val="1A1A2E"/>
                <w:sz w:val="18"/>
              </w:rPr>
              <w:t>SMB Scaling (S3)</w:t>
            </w:r>
          </w:p>
        </w:tc>
        <w:tc>
          <w:tcPr>
            <w:tcW w:type="dxa" w:w="1008"/>
            <w:shd w:val="clear" w:color="auto" w:fill="FAF6E9"/>
          </w:tcPr>
          <w:p>
            <w:pPr>
              <w:jc w:val="center"/>
            </w:pPr>
            <w:r/>
            <w:r>
              <w:rPr>
                <w:color w:val="1A1A2E"/>
                <w:sz w:val="18"/>
              </w:rPr>
              <w:t>50-100</w:t>
            </w:r>
          </w:p>
        </w:tc>
        <w:tc>
          <w:tcPr>
            <w:tcW w:type="dxa" w:w="1584"/>
            <w:shd w:val="clear" w:color="auto" w:fill="FAF6E9"/>
          </w:tcPr>
          <w:p>
            <w:pPr>
              <w:jc w:val="center"/>
            </w:pPr>
            <w:r/>
            <w:r>
              <w:rPr>
                <w:color w:val="1A1A2E"/>
                <w:sz w:val="18"/>
              </w:rPr>
              <w:t>$3M-$15M</w:t>
            </w:r>
          </w:p>
        </w:tc>
        <w:tc>
          <w:tcPr>
            <w:tcW w:type="dxa" w:w="3888"/>
            <w:shd w:val="clear" w:color="auto" w:fill="FAF6E9"/>
          </w:tcPr>
          <w:p>
            <w:pPr>
              <w:jc w:val="center"/>
            </w:pPr>
            <w:r/>
            <w:r>
              <w:rPr>
                <w:color w:val="1A1A2E"/>
                <w:sz w:val="18"/>
              </w:rPr>
              <w:t>SDRs exist but below quota, no signal layer</w:t>
            </w:r>
          </w:p>
        </w:tc>
      </w:tr>
      <w:tr>
        <w:tc>
          <w:tcPr>
            <w:tcW w:type="dxa" w:w="2448"/>
            <w:shd w:val="clear" w:color="auto" w:fill="FFFFFF"/>
          </w:tcPr>
          <w:p>
            <w:pPr>
              <w:jc w:val="left"/>
            </w:pPr>
            <w:r/>
            <w:r>
              <w:rPr>
                <w:color w:val="1A1A2E"/>
                <w:sz w:val="18"/>
              </w:rPr>
              <w:t>Mid-Market (S4)</w:t>
            </w:r>
          </w:p>
        </w:tc>
        <w:tc>
          <w:tcPr>
            <w:tcW w:type="dxa" w:w="1008"/>
            <w:shd w:val="clear" w:color="auto" w:fill="FFFFFF"/>
          </w:tcPr>
          <w:p>
            <w:pPr>
              <w:jc w:val="center"/>
            </w:pPr>
            <w:r/>
            <w:r>
              <w:rPr>
                <w:color w:val="1A1A2E"/>
                <w:sz w:val="18"/>
              </w:rPr>
              <w:t>100-200</w:t>
            </w:r>
          </w:p>
        </w:tc>
        <w:tc>
          <w:tcPr>
            <w:tcW w:type="dxa" w:w="1584"/>
            <w:shd w:val="clear" w:color="auto" w:fill="FFFFFF"/>
          </w:tcPr>
          <w:p>
            <w:pPr>
              <w:jc w:val="center"/>
            </w:pPr>
            <w:r/>
            <w:r>
              <w:rPr>
                <w:color w:val="1A1A2E"/>
                <w:sz w:val="18"/>
              </w:rPr>
              <w:t>$8M-$30M</w:t>
            </w:r>
          </w:p>
        </w:tc>
        <w:tc>
          <w:tcPr>
            <w:tcW w:type="dxa" w:w="3888"/>
            <w:shd w:val="clear" w:color="auto" w:fill="FFFFFF"/>
          </w:tcPr>
          <w:p>
            <w:pPr>
              <w:jc w:val="center"/>
            </w:pPr>
            <w:r/>
            <w:r>
              <w:rPr>
                <w:color w:val="1A1A2E"/>
                <w:sz w:val="18"/>
              </w:rPr>
              <w:t>Full stack, missing intelligence layer</w:t>
            </w:r>
          </w:p>
        </w:tc>
      </w:tr>
    </w:tbl>
    <w:p/>
    <w:p>
      <w:pPr>
        <w:spacing w:before="280" w:after="80"/>
        <w:pBdr>
          <w:bottom w:val="single" w:sz="6" w:space="3" w:color="E8B830"/>
        </w:pBdr>
      </w:pPr>
      <w:r>
        <w:rPr>
          <w:b/>
          <w:color w:val="E8B830"/>
          <w:sz w:val="22"/>
        </w:rPr>
        <w:t>THE OFFER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2"/>
            <w:shd w:val="clear" w:color="auto" w:fill="1A1A2E"/>
          </w:tcPr>
          <w:p>
            <w:pPr>
              <w:jc w:val="center"/>
            </w:pPr>
            <w:r/>
            <w:r>
              <w:rPr>
                <w:b/>
                <w:color w:val="FFFFFF"/>
                <w:sz w:val="18"/>
              </w:rPr>
              <w:t>Plan</w:t>
            </w:r>
          </w:p>
        </w:tc>
        <w:tc>
          <w:tcPr>
            <w:tcW w:type="dxa" w:w="1728"/>
            <w:shd w:val="clear" w:color="auto" w:fill="1A1A2E"/>
          </w:tcPr>
          <w:p>
            <w:pPr>
              <w:jc w:val="center"/>
            </w:pPr>
            <w:r/>
            <w:r>
              <w:rPr>
                <w:b/>
                <w:color w:val="FFFFFF"/>
                <w:sz w:val="18"/>
              </w:rPr>
              <w:t>Investment</w:t>
            </w:r>
          </w:p>
        </w:tc>
        <w:tc>
          <w:tcPr>
            <w:tcW w:type="dxa" w:w="2016"/>
            <w:shd w:val="clear" w:color="auto" w:fill="1A1A2E"/>
          </w:tcPr>
          <w:p>
            <w:pPr>
              <w:jc w:val="center"/>
            </w:pPr>
            <w:r/>
            <w:r>
              <w:rPr>
                <w:b/>
                <w:color w:val="FFFFFF"/>
                <w:sz w:val="18"/>
              </w:rPr>
              <w:t>Who It's For</w:t>
            </w:r>
          </w:p>
        </w:tc>
        <w:tc>
          <w:tcPr>
            <w:tcW w:type="dxa" w:w="3312"/>
            <w:shd w:val="clear" w:color="auto" w:fill="1A1A2E"/>
          </w:tcPr>
          <w:p>
            <w:pPr>
              <w:jc w:val="center"/>
            </w:pPr>
            <w:r/>
            <w:r>
              <w:rPr>
                <w:b/>
                <w:color w:val="FFFFFF"/>
                <w:sz w:val="18"/>
              </w:rPr>
              <w:t>Key Deliverables</w:t>
            </w:r>
          </w:p>
        </w:tc>
      </w:tr>
      <w:tr>
        <w:tc>
          <w:tcPr>
            <w:tcW w:type="dxa" w:w="1872"/>
            <w:shd w:val="clear" w:color="auto" w:fill="FAF6E9"/>
          </w:tcPr>
          <w:p>
            <w:pPr>
              <w:jc w:val="left"/>
            </w:pPr>
            <w:r/>
            <w:r>
              <w:rPr>
                <w:color w:val="1A1A2E"/>
                <w:sz w:val="18"/>
              </w:rPr>
              <w:t>Foundation</w:t>
            </w:r>
          </w:p>
        </w:tc>
        <w:tc>
          <w:tcPr>
            <w:tcW w:type="dxa" w:w="1728"/>
            <w:shd w:val="clear" w:color="auto" w:fill="FAF6E9"/>
          </w:tcPr>
          <w:p>
            <w:pPr>
              <w:jc w:val="center"/>
            </w:pPr>
            <w:r/>
            <w:r>
              <w:rPr>
                <w:color w:val="1A1A2E"/>
                <w:sz w:val="18"/>
              </w:rPr>
              <w:t>$3,500/mo</w:t>
            </w:r>
          </w:p>
        </w:tc>
        <w:tc>
          <w:tcPr>
            <w:tcW w:type="dxa" w:w="2016"/>
            <w:shd w:val="clear" w:color="auto" w:fill="FAF6E9"/>
          </w:tcPr>
          <w:p>
            <w:pPr>
              <w:jc w:val="center"/>
            </w:pPr>
            <w:r/>
            <w:r>
              <w:rPr>
                <w:color w:val="1A1A2E"/>
                <w:sz w:val="18"/>
              </w:rPr>
              <w:t>S1 founders</w:t>
            </w:r>
          </w:p>
        </w:tc>
        <w:tc>
          <w:tcPr>
            <w:tcW w:type="dxa" w:w="3312"/>
            <w:shd w:val="clear" w:color="auto" w:fill="FAF6E9"/>
          </w:tcPr>
          <w:p>
            <w:pPr>
              <w:jc w:val="center"/>
            </w:pPr>
            <w:r/>
            <w:r>
              <w:rPr>
                <w:color w:val="1A1A2E"/>
                <w:sz w:val="18"/>
              </w:rPr>
              <w:t>ICP + 1 sequence + email channel</w:t>
            </w:r>
          </w:p>
        </w:tc>
      </w:tr>
      <w:tr>
        <w:tc>
          <w:tcPr>
            <w:tcW w:type="dxa" w:w="1872"/>
            <w:shd w:val="clear" w:color="auto" w:fill="FFFFFF"/>
          </w:tcPr>
          <w:p>
            <w:pPr>
              <w:jc w:val="left"/>
            </w:pPr>
            <w:r/>
            <w:r>
              <w:rPr>
                <w:color w:val="1A1A2E"/>
                <w:sz w:val="18"/>
              </w:rPr>
              <w:t>Growth</w:t>
            </w:r>
          </w:p>
        </w:tc>
        <w:tc>
          <w:tcPr>
            <w:tcW w:type="dxa" w:w="1728"/>
            <w:shd w:val="clear" w:color="auto" w:fill="FFFFFF"/>
          </w:tcPr>
          <w:p>
            <w:pPr>
              <w:jc w:val="center"/>
            </w:pPr>
            <w:r/>
            <w:r>
              <w:rPr>
                <w:color w:val="1A1A2E"/>
                <w:sz w:val="18"/>
              </w:rPr>
              <w:t>$7,500/mo</w:t>
            </w:r>
          </w:p>
        </w:tc>
        <w:tc>
          <w:tcPr>
            <w:tcW w:type="dxa" w:w="2016"/>
            <w:shd w:val="clear" w:color="auto" w:fill="FFFFFF"/>
          </w:tcPr>
          <w:p>
            <w:pPr>
              <w:jc w:val="center"/>
            </w:pPr>
            <w:r/>
            <w:r>
              <w:rPr>
                <w:color w:val="1A1A2E"/>
                <w:sz w:val="18"/>
              </w:rPr>
              <w:t>S2 (sweet spot)</w:t>
            </w:r>
          </w:p>
        </w:tc>
        <w:tc>
          <w:tcPr>
            <w:tcW w:type="dxa" w:w="3312"/>
            <w:shd w:val="clear" w:color="auto" w:fill="FFFFFF"/>
          </w:tcPr>
          <w:p>
            <w:pPr>
              <w:jc w:val="center"/>
            </w:pPr>
            <w:r/>
            <w:r>
              <w:rPr>
                <w:color w:val="1A1A2E"/>
                <w:sz w:val="18"/>
              </w:rPr>
              <w:t>ICP + 3 sequences + email + LinkedIn</w:t>
            </w:r>
          </w:p>
        </w:tc>
      </w:tr>
      <w:tr>
        <w:tc>
          <w:tcPr>
            <w:tcW w:type="dxa" w:w="1872"/>
            <w:shd w:val="clear" w:color="auto" w:fill="FAF6E9"/>
          </w:tcPr>
          <w:p>
            <w:pPr>
              <w:jc w:val="left"/>
            </w:pPr>
            <w:r/>
            <w:r>
              <w:rPr>
                <w:color w:val="1A1A2E"/>
                <w:sz w:val="18"/>
              </w:rPr>
              <w:t>Enterprise</w:t>
            </w:r>
          </w:p>
        </w:tc>
        <w:tc>
          <w:tcPr>
            <w:tcW w:type="dxa" w:w="1728"/>
            <w:shd w:val="clear" w:color="auto" w:fill="FAF6E9"/>
          </w:tcPr>
          <w:p>
            <w:pPr>
              <w:jc w:val="center"/>
            </w:pPr>
            <w:r/>
            <w:r>
              <w:rPr>
                <w:color w:val="1A1A2E"/>
                <w:sz w:val="18"/>
              </w:rPr>
              <w:t>$15,000/mo</w:t>
            </w:r>
          </w:p>
        </w:tc>
        <w:tc>
          <w:tcPr>
            <w:tcW w:type="dxa" w:w="2016"/>
            <w:shd w:val="clear" w:color="auto" w:fill="FAF6E9"/>
          </w:tcPr>
          <w:p>
            <w:pPr>
              <w:jc w:val="center"/>
            </w:pPr>
            <w:r/>
            <w:r>
              <w:rPr>
                <w:color w:val="1A1A2E"/>
                <w:sz w:val="18"/>
              </w:rPr>
              <w:t>S3 + S4</w:t>
            </w:r>
          </w:p>
        </w:tc>
        <w:tc>
          <w:tcPr>
            <w:tcW w:type="dxa" w:w="3312"/>
            <w:shd w:val="clear" w:color="auto" w:fill="FAF6E9"/>
          </w:tcPr>
          <w:p>
            <w:pPr>
              <w:jc w:val="center"/>
            </w:pPr>
            <w:r/>
            <w:r>
              <w:rPr>
                <w:color w:val="1A1A2E"/>
                <w:sz w:val="18"/>
              </w:rPr>
              <w:t>Full system + all channels + team training</w:t>
            </w:r>
          </w:p>
        </w:tc>
      </w:tr>
    </w:tbl>
    <w:p/>
    <w:p>
      <w:pPr>
        <w:spacing w:after="100"/>
      </w:pPr>
      <w:r>
        <w:rPr>
          <w:i/>
          <w:color w:val="888888"/>
          <w:sz w:val="20"/>
        </w:rPr>
        <w:t>3-month minimum. Month-to-month after that. Full IP ownership from Day 1. 30-day qualified meeting guarantee or we work free until we hit it.</w:t>
      </w:r>
    </w:p>
    <w:p>
      <w:pPr>
        <w:spacing w:before="120" w:after="120"/>
        <w:pBdr>
          <w:bottom w:val="single" w:sz="4" w:space="1" w:color="E8B830"/>
        </w:pBdr>
      </w:pPr>
    </w:p>
    <w:p>
      <w:pPr>
        <w:spacing w:before="280" w:after="80"/>
        <w:pBdr>
          <w:bottom w:val="single" w:sz="6" w:space="3" w:color="E8B830"/>
        </w:pBdr>
      </w:pPr>
      <w:r>
        <w:rPr>
          <w:b/>
          <w:color w:val="E8B830"/>
          <w:sz w:val="22"/>
        </w:rPr>
        <w:t>THE 30-DAY MEETING GUARANTEE</w:t>
      </w:r>
    </w:p>
    <w:p>
      <w:pPr>
        <w:spacing w:after="100"/>
      </w:pPr>
      <w:r>
        <w:rPr>
          <w:i w:val="0"/>
          <w:color w:val="1A1A2E"/>
          <w:sz w:val="20"/>
        </w:rPr>
        <w:t>If we have not booked at least 3 qualified meetings into your calendar within 30 days of live sequences, we extend your contract at no charge until we do. No exceptions. We take the risk so you don't have to.</w:t>
      </w:r>
    </w:p>
    <w:p>
      <w:pPr>
        <w:spacing w:before="160" w:after="80"/>
        <w:jc w:val="center"/>
      </w:pPr>
      <w:r>
        <w:rPr>
          <w:i/>
          <w:color w:val="E8B830"/>
          <w:sz w:val="22"/>
        </w:rPr>
        <w:t>"One new $60K/year client covers your SELLL investment 8x in Year 1. The question is not whether you can afford SELLL. It is how much longer you can afford to grow without it."</w:t>
      </w:r>
    </w:p>
    <w:p>
      <w:pPr>
        <w:spacing w:before="280" w:after="80"/>
        <w:pBdr>
          <w:bottom w:val="single" w:sz="6" w:space="3" w:color="E8B830"/>
        </w:pBdr>
      </w:pPr>
      <w:r>
        <w:rPr>
          <w:b/>
          <w:color w:val="E8B830"/>
          <w:sz w:val="22"/>
        </w:rPr>
        <w:t>WHAT HAPPENS NEXT</w:t>
      </w:r>
    </w:p>
    <w:p>
      <w:pPr>
        <w:pStyle w:val="ListNumber"/>
        <w:spacing w:after="80"/>
      </w:pPr>
      <w:r>
        <w:rPr>
          <w:color w:val="1A1A2E"/>
          <w:sz w:val="20"/>
        </w:rPr>
        <w:t>Book a free 30-minute Pipeline Audit at selll.io/audit</w:t>
      </w:r>
    </w:p>
    <w:p>
      <w:pPr>
        <w:pStyle w:val="ListNumber"/>
        <w:spacing w:after="80"/>
      </w:pPr>
      <w:r>
        <w:rPr>
          <w:color w:val="1A1A2E"/>
          <w:sz w:val="20"/>
        </w:rPr>
        <w:t>Receive your custom Build Plan within 48 hours of the call</w:t>
      </w:r>
    </w:p>
    <w:p>
      <w:pPr>
        <w:pStyle w:val="ListNumber"/>
        <w:spacing w:after="80"/>
      </w:pPr>
      <w:r>
        <w:rPr>
          <w:color w:val="1A1A2E"/>
          <w:sz w:val="20"/>
        </w:rPr>
        <w:t>Approve the plan - we start building Day 1</w:t>
      </w:r>
    </w:p>
    <w:p>
      <w:pPr>
        <w:spacing w:after="100"/>
      </w:pPr>
      <w:r>
        <w:rPr>
          <w:i w:val="0"/>
          <w:color w:val="E8B830"/>
          <w:sz w:val="22"/>
        </w:rPr>
        <w:t>selll.io/audit  |  hello@selll.io  |  Aaron at SELLL.io</w:t>
      </w:r>
    </w:p>
    <w:p/>
    <w:p>
      <w:pPr>
        <w:jc w:val="center"/>
      </w:pPr>
      <w:r>
        <w:rPr>
          <w:i/>
          <w:color w:val="888888"/>
          <w:sz w:val="16"/>
        </w:rPr>
        <w:t>SELLL Revenue Engine  |  Sales Sheet  |  June 2026  |  Ophir Gold Edition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