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Ogi Setiawan</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w:t>
            </w:r>
            <w:r w:rsidDel="00000000" w:rsidR="00000000" w:rsidRPr="00000000">
              <w:rPr>
                <w:b w:val="1"/>
                <w:color w:val="424242"/>
                <w:sz w:val="24"/>
                <w:szCs w:val="24"/>
                <w:rtl w:val="0"/>
              </w:rPr>
              <w:t xml:space="preserve">Draft </w:t>
            </w:r>
            <w:r w:rsidDel="00000000" w:rsidR="00000000" w:rsidRPr="00000000">
              <w:rPr>
                <w:color w:val="424242"/>
                <w:sz w:val="24"/>
                <w:szCs w:val="24"/>
                <w:rtl w:val="0"/>
              </w:rPr>
              <w:t xml:space="preserve">/ Final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Tujuan dari rencana manajemen risiko adalah untuk mengidentifikasi, mengevaluasi, dan mengurangi dampak potensial dari risiko terhadap anggaran dan jadwal proyek. Dokumen ini dirancang untuk mempersiapkan tim dalam menghadapi berbagai skenario risiko dengan langkah-langkah mitigasi yang efektif, memastikan kelancaran dan keberhasilan peluncuran operasi Plant Pals.</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widowControl w:val="0"/>
        <w:spacing w:after="240" w:before="240" w:lineRule="auto"/>
        <w:rPr>
          <w:color w:val="434343"/>
        </w:rPr>
      </w:pPr>
      <w:r w:rsidDel="00000000" w:rsidR="00000000" w:rsidRPr="00000000">
        <w:rPr>
          <w:color w:val="434343"/>
          <w:rtl w:val="0"/>
        </w:rPr>
        <w:t xml:space="preserve">Meluncurkan operasi baru yang efisien dan tepat waktu di Office Green, dengan meminimalkan biaya dan memastikan ketersediaan karyawan yang terlatih. Milestone utama termasuk </w:t>
      </w:r>
      <w:r w:rsidDel="00000000" w:rsidR="00000000" w:rsidRPr="00000000">
        <w:rPr>
          <w:b w:val="1"/>
          <w:color w:val="434343"/>
          <w:rtl w:val="0"/>
        </w:rPr>
        <w:t xml:space="preserve">pembelian </w:t>
      </w:r>
      <w:r w:rsidDel="00000000" w:rsidR="00000000" w:rsidRPr="00000000">
        <w:rPr>
          <w:color w:val="434343"/>
          <w:rtl w:val="0"/>
        </w:rPr>
        <w:t xml:space="preserve">dan </w:t>
      </w:r>
      <w:r w:rsidDel="00000000" w:rsidR="00000000" w:rsidRPr="00000000">
        <w:rPr>
          <w:b w:val="1"/>
          <w:color w:val="434343"/>
          <w:rtl w:val="0"/>
        </w:rPr>
        <w:t xml:space="preserve">pengiriman tru</w:t>
      </w:r>
      <w:r w:rsidDel="00000000" w:rsidR="00000000" w:rsidRPr="00000000">
        <w:rPr>
          <w:color w:val="434343"/>
          <w:rtl w:val="0"/>
        </w:rPr>
        <w:t xml:space="preserve">k, </w:t>
      </w:r>
      <w:r w:rsidDel="00000000" w:rsidR="00000000" w:rsidRPr="00000000">
        <w:rPr>
          <w:b w:val="1"/>
          <w:color w:val="434343"/>
          <w:rtl w:val="0"/>
        </w:rPr>
        <w:t xml:space="preserve">pengadaan produk</w:t>
      </w:r>
      <w:r w:rsidDel="00000000" w:rsidR="00000000" w:rsidRPr="00000000">
        <w:rPr>
          <w:color w:val="434343"/>
          <w:rtl w:val="0"/>
        </w:rPr>
        <w:t xml:space="preserve">, </w:t>
      </w:r>
      <w:r w:rsidDel="00000000" w:rsidR="00000000" w:rsidRPr="00000000">
        <w:rPr>
          <w:b w:val="1"/>
          <w:color w:val="434343"/>
          <w:rtl w:val="0"/>
        </w:rPr>
        <w:t xml:space="preserve">serta pelatihan karyawan</w:t>
      </w:r>
      <w:r w:rsidDel="00000000" w:rsidR="00000000" w:rsidRPr="00000000">
        <w:rPr>
          <w:color w:val="434343"/>
          <w:rtl w:val="0"/>
        </w:rPr>
        <w:t xml:space="preserve">.</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2">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6aa84f"/>
              </w:rPr>
            </w:pPr>
            <w:r w:rsidDel="00000000" w:rsidR="00000000" w:rsidRPr="00000000">
              <w:rPr>
                <w:b w:val="1"/>
                <w:color w:val="6aa84f"/>
                <w:rtl w:val="0"/>
              </w:rPr>
              <w:t xml:space="preserve">Biaya overhead, seperti sewa atau utilitas, meningkat lebih dari yang diperkirakan.</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240" w:lineRule="auto"/>
              <w:ind w:left="0" w:firstLine="0"/>
              <w:rPr/>
            </w:pPr>
            <w:r w:rsidDel="00000000" w:rsidR="00000000" w:rsidRPr="00000000">
              <w:rPr>
                <w:rtl w:val="0"/>
              </w:rPr>
              <w:t xml:space="preserve">Buat anggaran yang memperhitungkan kemungkinan kenaikan biaya overhead. Evaluasi dan kurangi biaya overhead yang tidak esensial. Negosiasikan ulang kontrak sewa jika memungkinkan.</w:t>
            </w:r>
          </w:p>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color w:val="e69138"/>
              </w:rPr>
            </w:pPr>
            <w:r w:rsidDel="00000000" w:rsidR="00000000" w:rsidRPr="00000000">
              <w:rPr>
                <w:b w:val="1"/>
                <w:color w:val="e69138"/>
                <w:rtl w:val="0"/>
              </w:rPr>
              <w:t xml:space="preserve">Klien menunda pembayaran, mempengaruhi arus kas perusahaan</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Tetapkan kebijakan pembayaran yang ketat dan berikan insentif untuk pembayaran tepat waktu. Siapkan dana darurat untuk mengatasi gangguan arus kas sementara</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color w:val="e06666"/>
              </w:rPr>
            </w:pPr>
            <w:r w:rsidDel="00000000" w:rsidR="00000000" w:rsidRPr="00000000">
              <w:rPr>
                <w:b w:val="1"/>
                <w:color w:val="e06666"/>
                <w:rtl w:val="0"/>
              </w:rPr>
              <w:t xml:space="preserve">Vendor produk kehilangan suatu pengiriman produk</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b w:val="1"/>
                <w:color w:val="e06666"/>
              </w:rPr>
            </w:pPr>
            <w:r w:rsidDel="00000000" w:rsidR="00000000" w:rsidRPr="00000000">
              <w:rPr>
                <w:b w:val="1"/>
                <w:color w:val="e06666"/>
                <w:rtl w:val="0"/>
              </w:rPr>
              <w:t xml:space="preserve">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Buat kontrak yang mencakup klausul penalti untuk pengiriman yang hilang. Siapkan vendor alternatif atau cadangan produk untuk memastikan tidak ada keterlambatan akibat kehilangan pengiriman. Asuransikan pengiriman untuk menutup biaya kehilangan</w:t>
            </w:r>
          </w:p>
        </w:tc>
      </w:tr>
    </w:tbl>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3">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6aa84f"/>
              </w:rPr>
            </w:pPr>
            <w:r w:rsidDel="00000000" w:rsidR="00000000" w:rsidRPr="00000000">
              <w:rPr>
                <w:b w:val="1"/>
                <w:color w:val="6aa84f"/>
                <w:rtl w:val="0"/>
              </w:rPr>
              <w:t xml:space="preserve">Manajer pelatihan Anda jatuh sakit dan melewatkan satu minggu pelatihan</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Siapkan pelatih cadangan yang dapat menggantikan manajer pelatihan jika diperlukan. Buat modul pelatihan yang terstruktur dengan baik sehingga pelatih lain dapat melanjutkan tanpa hambatan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e69138"/>
              </w:rPr>
            </w:pPr>
            <w:r w:rsidDel="00000000" w:rsidR="00000000" w:rsidRPr="00000000">
              <w:rPr>
                <w:b w:val="1"/>
                <w:color w:val="e69138"/>
                <w:rtl w:val="0"/>
              </w:rPr>
              <w:t xml:space="preserve">Lebih dari 50% karyawan berhenti setelah proses pelatihan yang sulit, yang menyebabkan perusahaan kekurangan pegawai</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Buat lingkungan pelatihan yang mendukung dan berikan insentif untuk menyelesaikan pelatihan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color w:val="e06666"/>
              </w:rPr>
            </w:pPr>
            <w:r w:rsidDel="00000000" w:rsidR="00000000" w:rsidRPr="00000000">
              <w:rPr>
                <w:b w:val="1"/>
                <w:color w:val="e06666"/>
                <w:rtl w:val="0"/>
              </w:rPr>
              <w:t xml:space="preserve">Tidak dapat mempekerjakan jumlah karyawan yang dibutuhkan tepat waktu untuk melatih mereka sebelum peluncuran produk</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b w:val="1"/>
                <w:color w:val="e06666"/>
              </w:rPr>
            </w:pPr>
            <w:r w:rsidDel="00000000" w:rsidR="00000000" w:rsidRPr="00000000">
              <w:rPr>
                <w:b w:val="1"/>
                <w:color w:val="e06666"/>
                <w:rtl w:val="0"/>
              </w:rPr>
              <w:t xml:space="preserve">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Mulailah proses rekrutmen lebih awal dan pertimbangkan untuk menggunakan agensi rekrutmen untuk mempercepat proses. Buat program pelatihan intensif untuk mengejar ketinggalan</w:t>
            </w:r>
          </w:p>
        </w:tc>
      </w:tr>
    </w:tbl>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pageBreakBefore w:val="0"/>
        <w:rPr>
          <w:color w:val="34a853"/>
          <w:sz w:val="32"/>
          <w:szCs w:val="32"/>
        </w:rPr>
      </w:pPr>
      <w:r w:rsidDel="00000000" w:rsidR="00000000" w:rsidRPr="00000000">
        <w:rPr>
          <w:rtl w:val="0"/>
        </w:rPr>
      </w:r>
    </w:p>
    <w:p w:rsidR="00000000" w:rsidDel="00000000" w:rsidP="00000000" w:rsidRDefault="00000000" w:rsidRPr="00000000" w14:paraId="00000032">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5">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6">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Impact chart:</w:t>
      </w:r>
    </w:p>
    <w:p w:rsidR="00000000" w:rsidDel="00000000" w:rsidP="00000000" w:rsidRDefault="00000000" w:rsidRPr="00000000" w14:paraId="0000004F">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6">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8">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A">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0">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9">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A">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