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УТВЕРЖДЕНЫ</w:t>
      </w:r>
    </w:p>
    <w:p>
      <w:pPr>
        <w:jc w:val="right"/>
      </w:pPr>
      <w:r>
        <w:rPr>
          <w:b w:val="0"/>
        </w:rPr>
        <w:t>приказом директора ООО «Студия улыбки»</w:t>
      </w:r>
    </w:p>
    <w:p>
      <w:pPr>
        <w:jc w:val="right"/>
      </w:pPr>
      <w:r>
        <w:rPr>
          <w:b w:val="0"/>
        </w:rPr>
        <w:t>от __.__.2026 № __</w:t>
      </w:r>
    </w:p>
    <w:p>
      <w:pPr>
        <w:pStyle w:val="Heading1"/>
        <w:jc w:val="center"/>
      </w:pPr>
      <w:r>
        <w:t>Сведения о реализуемых требованиях к защите персональных данных в ООО «Студия улыбки»</w:t>
      </w:r>
    </w:p>
    <w:p>
      <w:pPr>
        <w:jc w:val="both"/>
      </w:pPr>
      <w:r>
        <w:rPr>
          <w:b w:val="0"/>
        </w:rPr>
        <w:t>ООО «Студия улыбки» (далее — Оператор) в соответствии со статьями 18.1 и 19 Федерального закона от 27.07.2006 № 152-ФЗ «О персональных данных» принимает правовые, организационные и технические меры для защиты персональных данных пациентов, посетителей сайта и работников от неправомерного или случайного доступа, уничтожения, изменения, блокирования, копирования, предоставления, распространения, а также от иных неправомерных действий.</w:t>
      </w:r>
    </w:p>
    <w:p>
      <w:pPr>
        <w:pStyle w:val="Heading2"/>
      </w:pPr>
      <w:r>
        <w:t>Правовые меры</w:t>
      </w:r>
    </w:p>
    <w:p>
      <w:pPr>
        <w:pStyle w:val="ListBullet"/>
      </w:pPr>
      <w:r>
        <w:rPr>
          <w:b w:val="0"/>
        </w:rPr>
        <w:t>утверждена Политика в отношении обработки персональных данных, она опубликована на сайте Оператора;</w:t>
      </w:r>
    </w:p>
    <w:p>
      <w:pPr>
        <w:pStyle w:val="ListBullet"/>
      </w:pPr>
      <w:r>
        <w:rPr>
          <w:b w:val="0"/>
        </w:rPr>
        <w:t>изданы локальные акты по вопросам обработки и защиты персональных данных;</w:t>
      </w:r>
    </w:p>
    <w:p>
      <w:pPr>
        <w:pStyle w:val="ListBullet"/>
      </w:pPr>
      <w:r>
        <w:rPr>
          <w:b w:val="0"/>
        </w:rPr>
        <w:t>согласие на обработку персональных данных, получаемых через сайт, оформлено отдельным документом;</w:t>
      </w:r>
    </w:p>
    <w:p>
      <w:pPr>
        <w:pStyle w:val="ListBullet"/>
      </w:pPr>
      <w:r>
        <w:rPr>
          <w:b w:val="0"/>
        </w:rPr>
        <w:t>с лицами, обрабатывающими персональные данные по поручению Оператора, заключены договоры, обязывающие их соблюдать конфиденциальность и требования Федерального закона № 152-ФЗ.</w:t>
      </w:r>
    </w:p>
    <w:p>
      <w:pPr>
        <w:pStyle w:val="Heading2"/>
      </w:pPr>
      <w:r>
        <w:t>Организационные меры</w:t>
      </w:r>
    </w:p>
    <w:p>
      <w:pPr>
        <w:pStyle w:val="ListBullet"/>
      </w:pPr>
      <w:r>
        <w:rPr>
          <w:b w:val="0"/>
        </w:rPr>
        <w:t>назначено лицо, ответственное за организацию обработки персональных данных;</w:t>
      </w:r>
    </w:p>
    <w:p>
      <w:pPr>
        <w:pStyle w:val="ListBullet"/>
      </w:pPr>
      <w:r>
        <w:rPr>
          <w:b w:val="0"/>
        </w:rPr>
        <w:t>работники, имеющие доступ к персональным данным, ознакомлены с требованиями законодательства и локальными актами Оператора; медицинские работники обязаны сохранять врачебную тайну;</w:t>
      </w:r>
    </w:p>
    <w:p>
      <w:pPr>
        <w:pStyle w:val="ListBullet"/>
      </w:pPr>
      <w:r>
        <w:rPr>
          <w:b w:val="0"/>
        </w:rPr>
        <w:t>доступ к персональным данным и медицинской документации предоставляется только работникам, которым он необходим для выполнения трудовых обязанностей;</w:t>
      </w:r>
    </w:p>
    <w:p>
      <w:pPr>
        <w:pStyle w:val="ListBullet"/>
      </w:pPr>
      <w:r>
        <w:rPr>
          <w:b w:val="0"/>
        </w:rPr>
        <w:t>бумажные документы, содержащие персональные данные, хранятся в запираемых помещениях и шкафах;</w:t>
      </w:r>
    </w:p>
    <w:p>
      <w:pPr>
        <w:pStyle w:val="ListBullet"/>
      </w:pPr>
      <w:r>
        <w:rPr>
          <w:b w:val="0"/>
        </w:rPr>
        <w:t>проводится внутренний контроль соответствия обработки персональных данных требованиям законодательства;</w:t>
      </w:r>
    </w:p>
    <w:p>
      <w:pPr>
        <w:pStyle w:val="ListBullet"/>
      </w:pPr>
      <w:r>
        <w:rPr>
          <w:b w:val="0"/>
        </w:rPr>
        <w:t>персональные данные, цели обработки которых достигнуты, уничтожаются с оформлением акта.</w:t>
      </w:r>
    </w:p>
    <w:p>
      <w:pPr>
        <w:pStyle w:val="Heading2"/>
      </w:pPr>
      <w:r>
        <w:t>Технические меры</w:t>
      </w:r>
    </w:p>
    <w:p>
      <w:pPr>
        <w:pStyle w:val="ListBullet"/>
      </w:pPr>
      <w:r>
        <w:rPr>
          <w:b w:val="0"/>
        </w:rPr>
        <w:t>определены угрозы безопасности персональных данных при их обработке в информационных системах;</w:t>
      </w:r>
    </w:p>
    <w:p>
      <w:pPr>
        <w:pStyle w:val="ListBullet"/>
      </w:pPr>
      <w:r>
        <w:rPr>
          <w:b w:val="0"/>
        </w:rPr>
        <w:t>применяются разграничение прав доступа, учётные записи и пароли, антивирусная защита;</w:t>
      </w:r>
    </w:p>
    <w:p>
      <w:pPr>
        <w:pStyle w:val="ListBullet"/>
      </w:pPr>
      <w:r>
        <w:rPr>
          <w:b w:val="0"/>
        </w:rPr>
        <w:t>ведётся учёт машинных носителей персональных данных;</w:t>
      </w:r>
    </w:p>
    <w:p>
      <w:pPr>
        <w:pStyle w:val="ListBullet"/>
      </w:pPr>
      <w:r>
        <w:rPr>
          <w:b w:val="0"/>
        </w:rPr>
        <w:t>обеспечено резервное копирование и возможность восстановления данных;</w:t>
      </w:r>
    </w:p>
    <w:p>
      <w:pPr>
        <w:pStyle w:val="ListBullet"/>
      </w:pPr>
      <w:r>
        <w:rPr>
          <w:b w:val="0"/>
        </w:rPr>
        <w:t>сайт Оператора работает по защищённому протоколу HTTPS, данные форм передаются в зашифрованном виде;</w:t>
      </w:r>
    </w:p>
    <w:p>
      <w:pPr>
        <w:pStyle w:val="ListBullet"/>
      </w:pPr>
      <w:r>
        <w:rPr>
          <w:b w:val="0"/>
        </w:rPr>
        <w:t>персональные данные граждан Российской Федерации записываются и хранятся в базах данных на территории Российской Федерации.</w:t>
      </w:r>
    </w:p>
    <w:p>
      <w:pPr>
        <w:jc w:val="both"/>
      </w:pPr>
      <w:r>
        <w:rPr>
          <w:b w:val="0"/>
        </w:rPr>
        <w:t>Вопросы о защите персональных данных можно направить по адресу 662161, Красноярский край, г. Ачинск, мкр. 5-й, д. 33, пом. 72, или на электронную почту Studiosmile24@mail.ru.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