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svbfoods.com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bobbeesbottling.com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goldingfarms.com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shmanco.com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ffffff" w:val="clear"/>
        <w:contextualSpacing w:val="0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"https://ashmanco.com/manufacturing/"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https://ashmanco.com/manufacturing/</w:t>
      </w:r>
    </w:p>
    <w:p w:rsidR="00000000" w:rsidDel="00000000" w:rsidP="00000000" w:rsidRDefault="00000000" w:rsidRPr="00000000" w14:paraId="0000000A">
      <w:pPr>
        <w:widowControl w:val="0"/>
        <w:shd w:fill="ffffff" w:val="clear"/>
        <w:contextualSpacing w:val="0"/>
        <w:rPr>
          <w:color w:val="1f4e79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e7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hd w:fill="ffffff" w:val="clear"/>
        <w:contextualSpacing w:val="0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"http://www.oberk.com/packaging-crash-course/bottle-and-sell-your-own-bbq-sauce"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http://www.oberk.com/packaging-crash-course/bottle-and-sell-your-own-bbq-sauce</w:t>
      </w:r>
    </w:p>
    <w:p w:rsidR="00000000" w:rsidDel="00000000" w:rsidP="00000000" w:rsidRDefault="00000000" w:rsidRPr="00000000" w14:paraId="0000000C">
      <w:pPr>
        <w:widowControl w:val="0"/>
        <w:shd w:fill="ffffff" w:val="clear"/>
        <w:contextualSpacing w:val="0"/>
        <w:rPr>
          <w:color w:val="1f4e79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e7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hd w:fill="ffffff" w:val="clear"/>
        <w:contextualSpacing w:val="0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"http://www.vdacs.virginia.gov/pdf/commercialfdapplication.pdf"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http://www.vdacs.virginia.gov/pdf/commercialfdapplication.pdf</w:t>
      </w:r>
    </w:p>
    <w:p w:rsidR="00000000" w:rsidDel="00000000" w:rsidP="00000000" w:rsidRDefault="00000000" w:rsidRPr="00000000" w14:paraId="0000000E">
      <w:pPr>
        <w:widowControl w:val="0"/>
        <w:shd w:fill="ffffff" w:val="clear"/>
        <w:contextualSpacing w:val="0"/>
        <w:rPr>
          <w:color w:val="1f4e79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e7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hd w:fill="ffffff" w:val="clear"/>
        <w:contextualSpacing w:val="0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"https://jfe.qualtrics.com/form/SV_0CBS66pVv5ldqBL"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https://jfe.qualtrics.com/form/SV_0CBS66pVv5ldqBL</w:t>
      </w:r>
    </w:p>
    <w:p w:rsidR="00000000" w:rsidDel="00000000" w:rsidP="00000000" w:rsidRDefault="00000000" w:rsidRPr="00000000" w14:paraId="00000010">
      <w:pPr>
        <w:widowControl w:val="0"/>
        <w:shd w:fill="ffffff" w:val="clear"/>
        <w:contextualSpacing w:val="0"/>
        <w:rPr>
          <w:color w:val="1f4e79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e79"/>
          <w:sz w:val="24"/>
          <w:szCs w:val="24"/>
          <w:rtl w:val="0"/>
        </w:rPr>
        <w:t xml:space="preserve">(processing authority—can look around, Maryland and NC should have also)</w:t>
      </w:r>
    </w:p>
    <w:p w:rsidR="00000000" w:rsidDel="00000000" w:rsidP="00000000" w:rsidRDefault="00000000" w:rsidRPr="00000000" w14:paraId="00000011">
      <w:pPr>
        <w:widowControl w:val="0"/>
        <w:shd w:fill="ffffff" w:val="clear"/>
        <w:contextualSpacing w:val="0"/>
        <w:rPr>
          <w:color w:val="1f4e79"/>
          <w:sz w:val="24"/>
          <w:szCs w:val="24"/>
        </w:rPr>
      </w:pPr>
      <w:r w:rsidDel="00000000" w:rsidR="00000000" w:rsidRPr="00000000">
        <w:rPr>
          <w:color w:val="1f4e7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hd w:fill="ffffff" w:val="clear"/>
        <w:contextualSpacing w:val="0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"https://ext.vt.edu/food-health/food-innovations.html"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https://ext.vt.edu/food-health/food-innovations.html</w:t>
      </w:r>
    </w:p>
    <w:p w:rsidR="00000000" w:rsidDel="00000000" w:rsidP="00000000" w:rsidRDefault="00000000" w:rsidRPr="00000000" w14:paraId="00000013">
      <w:pPr>
        <w:widowControl w:val="0"/>
        <w:shd w:fill="ffffff" w:val="clear"/>
        <w:contextualSpacing w:val="0"/>
        <w:rPr>
          <w:color w:val="1f4e79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e79"/>
          <w:sz w:val="24"/>
          <w:szCs w:val="24"/>
          <w:rtl w:val="0"/>
        </w:rPr>
        <w:t xml:space="preserve">(see resources tab)</w:t>
      </w:r>
    </w:p>
    <w:p w:rsidR="00000000" w:rsidDel="00000000" w:rsidP="00000000" w:rsidRDefault="00000000" w:rsidRPr="00000000" w14:paraId="00000014">
      <w:pPr>
        <w:widowControl w:val="0"/>
        <w:shd w:fill="ffffff" w:val="clear"/>
        <w:contextualSpacing w:val="0"/>
        <w:rPr>
          <w:color w:val="1f4e79"/>
          <w:sz w:val="24"/>
          <w:szCs w:val="24"/>
        </w:rPr>
      </w:pPr>
      <w:r w:rsidDel="00000000" w:rsidR="00000000" w:rsidRPr="00000000">
        <w:rPr>
          <w:color w:val="1f4e7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hd w:fill="ffffff" w:val="clear"/>
        <w:contextualSpacing w:val="0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"https://extension.psu.edu/food-safety-and-processing"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https://extension.psu.edu/food-safety-and-processing</w:t>
      </w:r>
    </w:p>
    <w:p w:rsidR="00000000" w:rsidDel="00000000" w:rsidP="00000000" w:rsidRDefault="00000000" w:rsidRPr="00000000" w14:paraId="00000016">
      <w:pPr>
        <w:widowControl w:val="0"/>
        <w:shd w:fill="ffffff" w:val="clear"/>
        <w:contextualSpacing w:val="0"/>
        <w:rPr>
          <w:color w:val="1f4e79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e7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hd w:fill="ffffff" w:val="clear"/>
        <w:contextualSpacing w:val="0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"http://www.vdacs.virginia.gov/vafinest.com/index.shtml"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http://www.vdacs.virginia.gov/vafinest.com/index.shtml</w:t>
      </w:r>
    </w:p>
    <w:p w:rsidR="00000000" w:rsidDel="00000000" w:rsidP="00000000" w:rsidRDefault="00000000" w:rsidRPr="00000000" w14:paraId="00000018">
      <w:pPr>
        <w:widowControl w:val="0"/>
        <w:shd w:fill="ffffff" w:val="clear"/>
        <w:contextualSpacing w:val="0"/>
        <w:rPr>
          <w:color w:val="1f4e79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e7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hd w:fill="ffffff" w:val="clear"/>
        <w:contextualSpacing w:val="0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"https://www.thehartford.com/business-playbook/in-depth/marketing-brand-branding-marketing-advertising"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https://www.thehartford.com/business-playbook/in-depth/marketing-brand-branding-marketing-advertising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