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B7" w:rsidRDefault="00F615B7" w:rsidP="00F615B7">
      <w:pPr>
        <w:pStyle w:val="Nagwek2beznumeracji"/>
        <w:spacing w:before="0" w:after="0" w:line="240" w:lineRule="auto"/>
        <w:jc w:val="left"/>
        <w:outlineLvl w:val="0"/>
        <w:rPr>
          <w:rFonts w:ascii="Times New Roman" w:hAnsi="Times New Roman"/>
          <w:b w:val="0"/>
          <w:sz w:val="22"/>
          <w:lang w:val="pl-PL"/>
        </w:rPr>
      </w:pPr>
      <w:r w:rsidRPr="006F5C2D">
        <w:rPr>
          <w:rFonts w:ascii="Times New Roman" w:hAnsi="Times New Roman"/>
          <w:b w:val="0"/>
          <w:sz w:val="22"/>
          <w:lang w:val="pl-PL"/>
        </w:rPr>
        <w:t>Załącznik</w:t>
      </w:r>
      <w:r w:rsidRPr="006F5C2D" w:rsidDel="00974D94">
        <w:rPr>
          <w:rFonts w:ascii="Times New Roman" w:hAnsi="Times New Roman"/>
          <w:b w:val="0"/>
          <w:sz w:val="22"/>
          <w:lang w:val="pl-PL"/>
        </w:rPr>
        <w:t xml:space="preserve"> </w:t>
      </w:r>
      <w:r>
        <w:rPr>
          <w:rFonts w:ascii="Times New Roman" w:hAnsi="Times New Roman"/>
          <w:b w:val="0"/>
          <w:sz w:val="22"/>
          <w:lang w:val="pl-PL"/>
        </w:rPr>
        <w:t>B.58.</w:t>
      </w:r>
    </w:p>
    <w:p w:rsidR="00F615B7" w:rsidRPr="00F615B7" w:rsidRDefault="00F615B7" w:rsidP="00F615B7">
      <w:pPr>
        <w:pStyle w:val="Tekstpodstawowy"/>
        <w:spacing w:after="0"/>
        <w:rPr>
          <w:lang w:val="pl-PL" w:eastAsia="en-US"/>
        </w:rPr>
      </w:pPr>
    </w:p>
    <w:p w:rsidR="00954E7E" w:rsidRPr="00F615B7" w:rsidRDefault="00954E7E" w:rsidP="00F615B7">
      <w:pPr>
        <w:rPr>
          <w:rFonts w:ascii="Times New Roman" w:hAnsi="Times New Roman" w:cs="Times New Roman"/>
          <w:b/>
          <w:sz w:val="28"/>
          <w:lang w:val="pl-PL"/>
        </w:rPr>
      </w:pPr>
      <w:r w:rsidRPr="00F615B7">
        <w:rPr>
          <w:rFonts w:ascii="Times New Roman" w:hAnsi="Times New Roman" w:cs="Times New Roman"/>
          <w:b/>
          <w:sz w:val="28"/>
          <w:lang w:val="pl-PL"/>
        </w:rPr>
        <w:t xml:space="preserve">LECZENIE </w:t>
      </w:r>
      <w:r w:rsidR="00F615B7">
        <w:rPr>
          <w:rFonts w:ascii="Times New Roman" w:hAnsi="Times New Roman" w:cs="Times New Roman"/>
          <w:b/>
          <w:sz w:val="28"/>
          <w:lang w:val="pl-PL"/>
        </w:rPr>
        <w:t xml:space="preserve"> </w:t>
      </w:r>
      <w:r w:rsidRPr="00F615B7">
        <w:rPr>
          <w:rFonts w:ascii="Times New Roman" w:hAnsi="Times New Roman" w:cs="Times New Roman"/>
          <w:b/>
          <w:sz w:val="28"/>
          <w:lang w:val="pl-PL"/>
        </w:rPr>
        <w:t>ZAAWANSOWANEGO</w:t>
      </w:r>
      <w:r w:rsidR="00F615B7">
        <w:rPr>
          <w:rFonts w:ascii="Times New Roman" w:hAnsi="Times New Roman" w:cs="Times New Roman"/>
          <w:b/>
          <w:sz w:val="28"/>
          <w:lang w:val="pl-PL"/>
        </w:rPr>
        <w:t xml:space="preserve"> </w:t>
      </w:r>
      <w:r w:rsidRPr="00F615B7">
        <w:rPr>
          <w:rFonts w:ascii="Times New Roman" w:hAnsi="Times New Roman" w:cs="Times New Roman"/>
          <w:b/>
          <w:sz w:val="28"/>
          <w:lang w:val="pl-PL"/>
        </w:rPr>
        <w:t xml:space="preserve"> RAKA </w:t>
      </w:r>
      <w:r w:rsidR="00F615B7">
        <w:rPr>
          <w:rFonts w:ascii="Times New Roman" w:hAnsi="Times New Roman" w:cs="Times New Roman"/>
          <w:b/>
          <w:sz w:val="28"/>
          <w:lang w:val="pl-PL"/>
        </w:rPr>
        <w:t xml:space="preserve"> </w:t>
      </w:r>
      <w:r w:rsidRPr="00F615B7">
        <w:rPr>
          <w:rFonts w:ascii="Times New Roman" w:hAnsi="Times New Roman" w:cs="Times New Roman"/>
          <w:b/>
          <w:sz w:val="28"/>
          <w:lang w:val="pl-PL"/>
        </w:rPr>
        <w:t xml:space="preserve">ŻOŁĄDKA </w:t>
      </w:r>
      <w:r w:rsidR="00F615B7">
        <w:rPr>
          <w:rFonts w:ascii="Times New Roman" w:hAnsi="Times New Roman" w:cs="Times New Roman"/>
          <w:b/>
          <w:sz w:val="28"/>
          <w:lang w:val="pl-PL"/>
        </w:rPr>
        <w:t xml:space="preserve"> </w:t>
      </w:r>
      <w:r w:rsidRPr="00F615B7">
        <w:rPr>
          <w:rFonts w:ascii="Times New Roman" w:hAnsi="Times New Roman" w:cs="Times New Roman"/>
          <w:b/>
          <w:sz w:val="28"/>
          <w:lang w:val="pl-PL"/>
        </w:rPr>
        <w:t>(ICD-10</w:t>
      </w:r>
      <w:r w:rsidR="00F615B7">
        <w:rPr>
          <w:rFonts w:ascii="Times New Roman" w:hAnsi="Times New Roman" w:cs="Times New Roman"/>
          <w:b/>
          <w:sz w:val="28"/>
          <w:lang w:val="pl-PL"/>
        </w:rPr>
        <w:t xml:space="preserve">  C</w:t>
      </w:r>
      <w:r w:rsidRPr="00F615B7">
        <w:rPr>
          <w:rFonts w:ascii="Times New Roman" w:hAnsi="Times New Roman" w:cs="Times New Roman"/>
          <w:b/>
          <w:sz w:val="28"/>
          <w:lang w:val="pl-PL"/>
        </w:rPr>
        <w:t>16)</w:t>
      </w:r>
    </w:p>
    <w:tbl>
      <w:tblPr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9"/>
        <w:gridCol w:w="4885"/>
        <w:gridCol w:w="5525"/>
      </w:tblGrid>
      <w:tr w:rsidR="006A68EA" w:rsidRPr="00F615B7" w:rsidTr="00E62932">
        <w:trPr>
          <w:trHeight w:val="440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A68EA" w:rsidRPr="00F615B7" w:rsidRDefault="006A68EA" w:rsidP="00E6293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ZAKRES ŚWIADCZENIA GWARANTOWANEGO</w:t>
            </w:r>
          </w:p>
        </w:tc>
      </w:tr>
      <w:tr w:rsidR="006A68EA" w:rsidRPr="00327F38" w:rsidTr="00E62932">
        <w:trPr>
          <w:trHeight w:val="687"/>
        </w:trPr>
        <w:tc>
          <w:tcPr>
            <w:tcW w:w="1714" w:type="pct"/>
            <w:shd w:val="clear" w:color="auto" w:fill="auto"/>
            <w:vAlign w:val="center"/>
          </w:tcPr>
          <w:p w:rsidR="006A68EA" w:rsidRPr="00F615B7" w:rsidRDefault="006A68EA" w:rsidP="00E6293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ŚWIADCZENIOBIORCY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6A68EA" w:rsidRPr="00F615B7" w:rsidRDefault="006A68EA" w:rsidP="00E6293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SCHEMAT DAWKOWANIA LEKU W PROGRAMIE</w:t>
            </w:r>
          </w:p>
        </w:tc>
        <w:tc>
          <w:tcPr>
            <w:tcW w:w="1744" w:type="pct"/>
            <w:shd w:val="clear" w:color="auto" w:fill="auto"/>
            <w:vAlign w:val="center"/>
          </w:tcPr>
          <w:p w:rsidR="006A68EA" w:rsidRPr="00F615B7" w:rsidRDefault="006A68EA" w:rsidP="00E6293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BADANIA DIAGNOSTYCZNE WYKONYWANE W RAMACH PROGRAMU</w:t>
            </w:r>
          </w:p>
        </w:tc>
      </w:tr>
      <w:tr w:rsidR="006A68EA" w:rsidRPr="00327F38" w:rsidTr="00F615B7">
        <w:tc>
          <w:tcPr>
            <w:tcW w:w="1714" w:type="pct"/>
            <w:shd w:val="clear" w:color="auto" w:fill="auto"/>
          </w:tcPr>
          <w:p w:rsidR="00CB163F" w:rsidRPr="00F615B7" w:rsidRDefault="00733800" w:rsidP="00F615B7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Program obejmuje lec</w:t>
            </w:r>
            <w:r w:rsidR="008C560F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zenie chorych na raka żołądka z </w:t>
            </w: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przerzutami trastuzumabem w skojarzeniu z</w:t>
            </w:r>
            <w:r w:rsidR="004347FA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cisplatyną i 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fluorouracylem lub cisplatyną i kapecytabiną</w:t>
            </w:r>
            <w:r w:rsidR="00DA648C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:rsidR="006A68EA" w:rsidRPr="00F615B7" w:rsidRDefault="00911985" w:rsidP="00F615B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1</w:t>
            </w:r>
            <w:r w:rsidR="0025720B" w:rsidRPr="00F615B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. </w:t>
            </w:r>
            <w:r w:rsidR="006A68EA" w:rsidRPr="00F615B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Kryteria kwalifikacji</w:t>
            </w:r>
          </w:p>
          <w:p w:rsidR="002D2840" w:rsidRPr="00F615B7" w:rsidRDefault="00676581" w:rsidP="00D5604F">
            <w:pPr>
              <w:numPr>
                <w:ilvl w:val="0"/>
                <w:numId w:val="18"/>
              </w:numPr>
              <w:spacing w:after="0"/>
              <w:ind w:left="527" w:hanging="3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h</w:t>
            </w:r>
            <w:r w:rsidR="00911985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istologiczne rozpo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znanie gruczolakoraka żołądka z </w:t>
            </w:r>
            <w:r w:rsidR="00911985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obecnością przerzutów odległych</w:t>
            </w:r>
            <w:r w:rsidR="004B51F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;</w:t>
            </w:r>
          </w:p>
          <w:p w:rsidR="00911985" w:rsidRPr="00F615B7" w:rsidRDefault="00676581" w:rsidP="00D5604F">
            <w:pPr>
              <w:numPr>
                <w:ilvl w:val="0"/>
                <w:numId w:val="18"/>
              </w:numPr>
              <w:spacing w:after="0"/>
              <w:ind w:left="527" w:hanging="3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</w:t>
            </w:r>
            <w:r w:rsidR="002D2840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adekspresja</w:t>
            </w:r>
            <w:r w:rsidR="008B4135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receptora HER2 w komórkach raka określana jako </w:t>
            </w:r>
            <w:r w:rsidR="002D2840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wynik </w:t>
            </w:r>
            <w:r w:rsidR="003C33BF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IHC /3+/;</w:t>
            </w:r>
          </w:p>
          <w:p w:rsidR="002D2840" w:rsidRPr="00F615B7" w:rsidRDefault="00676581" w:rsidP="00D5604F">
            <w:pPr>
              <w:numPr>
                <w:ilvl w:val="0"/>
                <w:numId w:val="18"/>
              </w:numPr>
              <w:spacing w:after="0"/>
              <w:ind w:left="527" w:hanging="3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</w:t>
            </w:r>
            <w:r w:rsidR="002D2840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becność przynajmniej jednej z</w:t>
            </w:r>
            <w:r w:rsidR="00336CA5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miany mierzalnej lub ocenialnej;</w:t>
            </w:r>
          </w:p>
          <w:p w:rsidR="002D2840" w:rsidRPr="00F615B7" w:rsidRDefault="00676581" w:rsidP="00D5604F">
            <w:pPr>
              <w:numPr>
                <w:ilvl w:val="0"/>
                <w:numId w:val="18"/>
              </w:numPr>
              <w:spacing w:after="0"/>
              <w:ind w:left="527" w:hanging="3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stan sprawności 0-1 wg</w:t>
            </w:r>
            <w:r w:rsidR="004B51F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WHO;</w:t>
            </w:r>
          </w:p>
          <w:p w:rsidR="008B4135" w:rsidRPr="00F615B7" w:rsidRDefault="00676581" w:rsidP="00D5604F">
            <w:pPr>
              <w:numPr>
                <w:ilvl w:val="0"/>
                <w:numId w:val="18"/>
              </w:numPr>
              <w:spacing w:after="0"/>
              <w:ind w:left="527" w:hanging="3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</w:t>
            </w:r>
            <w:r w:rsidR="00B637D3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iestosowanie w prz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eszłości leczenia systemowego z </w:t>
            </w:r>
            <w:r w:rsidR="00B637D3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</w:t>
            </w:r>
            <w:r w:rsidR="008B4135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wodu przerzutowego </w:t>
            </w:r>
            <w:r w:rsidR="003C33BF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raka żołądka;</w:t>
            </w:r>
          </w:p>
          <w:p w:rsidR="00B637D3" w:rsidRPr="00F615B7" w:rsidRDefault="00676581" w:rsidP="00D5604F">
            <w:pPr>
              <w:numPr>
                <w:ilvl w:val="0"/>
                <w:numId w:val="18"/>
              </w:numPr>
              <w:spacing w:after="0"/>
              <w:ind w:left="527" w:hanging="3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2D2840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ydolność serca wykazana na podstawie oceny klinicznej i badania ECHO (przed rozpoczęciem stosow</w:t>
            </w:r>
            <w:r w:rsidR="00B637D3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ania trastuzumabu</w:t>
            </w:r>
            <w:r w:rsidR="002D2840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) z frakcją wyrzutu lewej komory s</w:t>
            </w:r>
            <w:r w:rsidR="00336CA5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erca wynoszącą przynajmniej 50%;</w:t>
            </w:r>
          </w:p>
          <w:p w:rsidR="006A68EA" w:rsidRPr="00F615B7" w:rsidRDefault="00676581" w:rsidP="00D5604F">
            <w:pPr>
              <w:numPr>
                <w:ilvl w:val="0"/>
                <w:numId w:val="18"/>
              </w:numPr>
              <w:spacing w:after="0"/>
              <w:ind w:left="527" w:hanging="3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u</w:t>
            </w:r>
            <w:r w:rsidR="00400131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kończenie 18 roku</w:t>
            </w:r>
            <w:r w:rsidR="003C33BF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życia.</w:t>
            </w:r>
          </w:p>
          <w:p w:rsidR="00B04112" w:rsidRPr="00F615B7" w:rsidRDefault="006A68EA" w:rsidP="00F615B7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2. Określ</w:t>
            </w:r>
            <w:r w:rsidR="00A2402F"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enie czasu leczenia w programie</w:t>
            </w:r>
          </w:p>
          <w:p w:rsidR="006A68EA" w:rsidRPr="00F615B7" w:rsidRDefault="00A656B5" w:rsidP="00F615B7">
            <w:pPr>
              <w:spacing w:before="120" w:after="120"/>
              <w:ind w:left="17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Podawanie t</w:t>
            </w:r>
            <w:r w:rsidR="009409E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rastuzumab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="009409E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53FE1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jest kontynuowan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</w:t>
            </w:r>
            <w:r w:rsidR="00E53FE1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po zakończeniu chemioterapii </w:t>
            </w:r>
            <w:r w:rsidR="006A68EA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do wystąpienia progresji choroby lub </w:t>
            </w:r>
            <w:r w:rsidR="00E53FE1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istotnej klinicznie toksyczności, która nakazuje zaprzestanie leczenia.</w:t>
            </w:r>
          </w:p>
          <w:p w:rsidR="00327DE7" w:rsidRDefault="005430DB" w:rsidP="00F615B7">
            <w:pPr>
              <w:spacing w:before="120" w:after="120"/>
              <w:ind w:left="17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Maksymalna liczba </w:t>
            </w:r>
            <w:r w:rsidR="008B4135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cykli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chemioterapii </w:t>
            </w:r>
            <w:r w:rsidR="00456C7D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cisplatyną i </w:t>
            </w:r>
            <w:r w:rsidR="009409E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fluorouracylem lub cisplatyną i kap</w:t>
            </w:r>
            <w:r w:rsidR="0011076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</w:t>
            </w:r>
            <w:r w:rsidR="009409E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cytabiną 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wynosi 6. </w:t>
            </w:r>
          </w:p>
          <w:p w:rsidR="00E62932" w:rsidRPr="00F615B7" w:rsidRDefault="00E62932" w:rsidP="00F615B7">
            <w:pPr>
              <w:spacing w:before="120" w:after="120"/>
              <w:ind w:left="17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:rsidR="00327DE7" w:rsidRPr="00F615B7" w:rsidRDefault="00327DE7" w:rsidP="00F615B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lastRenderedPageBreak/>
              <w:t>3. Kryteria uniemożliwiające udział w programie</w:t>
            </w:r>
          </w:p>
          <w:p w:rsidR="008B4135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</w:t>
            </w:r>
            <w:r w:rsidR="00833E1D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rzebyta chemioterapia z po</w:t>
            </w:r>
            <w:r w:rsidR="003C33BF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wodu przerzutowego raka żołądka;</w:t>
            </w:r>
          </w:p>
          <w:p w:rsidR="00917AD2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</w:t>
            </w:r>
            <w:r w:rsidR="00917AD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adwrażliwość na trastuzumab</w:t>
            </w:r>
            <w:r w:rsidR="00E53FE1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, białko mysie </w:t>
            </w:r>
            <w:r w:rsidR="00917AD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 substancje pomocnicze</w:t>
            </w:r>
            <w:r w:rsidR="008F15A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:rsidR="00917AD2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</w:t>
            </w:r>
            <w:r w:rsidR="00917AD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asilona 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duszność spoczynkowa związana z </w:t>
            </w:r>
            <w:r w:rsidR="00917AD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zaawansowaniem nowotworu lub innymi chorobami; </w:t>
            </w:r>
          </w:p>
          <w:p w:rsidR="00917AD2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</w:t>
            </w:r>
            <w:r w:rsidR="00917AD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tan sprawności 2-4</w:t>
            </w:r>
            <w:r w:rsidR="008F15A6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według WHO;</w:t>
            </w:r>
          </w:p>
          <w:p w:rsidR="00917AD2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</w:t>
            </w:r>
            <w:r w:rsidR="00917AD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iewydolność sercowo-naczyniowa i nadciśnienie tętnicze nie poddające się leczeniu farmakologicznemu</w:t>
            </w:r>
            <w:r w:rsidR="008F15A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:rsidR="00917AD2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</w:t>
            </w:r>
            <w:r w:rsidR="00917AD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iąża i karmienie piersią;</w:t>
            </w:r>
          </w:p>
          <w:p w:rsidR="00917AD2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</w:t>
            </w:r>
            <w:r w:rsidR="00917AD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linicznie objawowe przerzuty do </w:t>
            </w:r>
            <w:r w:rsidR="00F2640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</w:t>
            </w:r>
            <w:r w:rsidR="00917AD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UN</w:t>
            </w:r>
            <w:r w:rsidR="008F15A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:rsidR="00F26409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917AD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nne poważne współistniejące choroby uniemożliwiające przeprowadzenie leczenia</w:t>
            </w:r>
            <w:r w:rsidR="003C33BF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:rsidR="00F26409" w:rsidRPr="00F615B7" w:rsidRDefault="004347FA" w:rsidP="00D5604F">
            <w:pPr>
              <w:numPr>
                <w:ilvl w:val="0"/>
                <w:numId w:val="33"/>
              </w:numPr>
              <w:spacing w:after="0"/>
              <w:ind w:left="56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5D592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stotne klinicznie </w:t>
            </w:r>
            <w:r w:rsidR="00E53FE1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 stanowiące przeciwskazanie do stosowania chemioterapii zaburzenia wskaźników czynności układu krwiotwórczego, nerek lub wątroby.</w:t>
            </w:r>
          </w:p>
          <w:p w:rsidR="004347FA" w:rsidRPr="00F615B7" w:rsidRDefault="004347FA" w:rsidP="00D5604F">
            <w:pPr>
              <w:spacing w:after="0"/>
              <w:ind w:left="71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:rsidR="00B46C10" w:rsidRPr="00F615B7" w:rsidRDefault="00327DE7" w:rsidP="00F615B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4. Kryteria zakończenia udziału w programie</w:t>
            </w:r>
          </w:p>
          <w:p w:rsidR="008F15A6" w:rsidRPr="00F615B7" w:rsidRDefault="004347FA" w:rsidP="00D5604F">
            <w:pPr>
              <w:numPr>
                <w:ilvl w:val="0"/>
                <w:numId w:val="38"/>
              </w:numPr>
              <w:spacing w:after="0"/>
              <w:ind w:left="52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</w:t>
            </w:r>
            <w:r w:rsidR="008F15A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rogresja chorob</w:t>
            </w:r>
            <w:r w:rsidR="005D592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y w trakcie stosowania leczenia</w:t>
            </w:r>
            <w:r w:rsidR="008F15A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:rsidR="00F26409" w:rsidRPr="00F615B7" w:rsidRDefault="004347FA" w:rsidP="00D5604F">
            <w:pPr>
              <w:numPr>
                <w:ilvl w:val="0"/>
                <w:numId w:val="38"/>
              </w:numPr>
              <w:spacing w:after="0"/>
              <w:ind w:left="52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8F15A6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ystąpienie </w:t>
            </w:r>
            <w:r w:rsidR="00E53FE1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istotnych klinicznie zaburzeń wskaźników czynności układu krwiotwórczego, nerek lub wątroby uniemożliwiających dalsze leczenie</w:t>
            </w:r>
            <w:r w:rsidR="00F2640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:rsidR="00327DE7" w:rsidRPr="00F615B7" w:rsidRDefault="004347FA" w:rsidP="00D5604F">
            <w:pPr>
              <w:numPr>
                <w:ilvl w:val="0"/>
                <w:numId w:val="38"/>
              </w:numPr>
              <w:spacing w:after="0"/>
              <w:ind w:left="527" w:hanging="39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</w:t>
            </w:r>
            <w:r w:rsidR="008B4135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iąża.</w:t>
            </w:r>
          </w:p>
        </w:tc>
        <w:tc>
          <w:tcPr>
            <w:tcW w:w="1542" w:type="pct"/>
            <w:shd w:val="clear" w:color="auto" w:fill="auto"/>
          </w:tcPr>
          <w:p w:rsidR="001B11B7" w:rsidRPr="00F615B7" w:rsidRDefault="00954E7E" w:rsidP="00F615B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lastRenderedPageBreak/>
              <w:t xml:space="preserve">1. </w:t>
            </w:r>
            <w:r w:rsidR="001B11B7" w:rsidRPr="00F615B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Leczenie chorych na raka żołądka z przerzutami trastuzumabem w skojarzeniu z</w:t>
            </w:r>
            <w:r w:rsidR="001B11B7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77F"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cisplatyną i fluorouracylem lub cisplatyną i </w:t>
            </w:r>
            <w:r w:rsidR="001B11B7"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kapecytabiną</w:t>
            </w:r>
          </w:p>
          <w:p w:rsidR="006A68EA" w:rsidRPr="00F615B7" w:rsidRDefault="002F0B23" w:rsidP="00F615B7">
            <w:pPr>
              <w:spacing w:before="120" w:after="120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Trastuzumab stosowany jest co 3 tygodnie – pierwsza dawka leku wynosi 8 mg/kg masy ciała i.v., a następne 6 mg/kg.</w:t>
            </w:r>
          </w:p>
          <w:p w:rsidR="003615D8" w:rsidRPr="00F615B7" w:rsidRDefault="003615D8" w:rsidP="00F615B7">
            <w:pPr>
              <w:spacing w:before="120" w:after="120"/>
              <w:ind w:left="57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Chemioterapia rozpoczynana jest w dniu podania pierwszej dawki trastuzumabu i polega na zastosowaniu jednego z dwu schematów:</w:t>
            </w:r>
          </w:p>
          <w:p w:rsidR="003615D8" w:rsidRPr="00F615B7" w:rsidRDefault="003615D8" w:rsidP="00F615B7">
            <w:pPr>
              <w:pStyle w:val="Akapitzlist"/>
              <w:numPr>
                <w:ilvl w:val="0"/>
                <w:numId w:val="39"/>
              </w:numPr>
              <w:spacing w:after="0"/>
              <w:ind w:left="454" w:hanging="284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cisplatyna 80 mg/</w:t>
            </w:r>
            <w:r w:rsidR="00ED7C0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</w:t>
            </w:r>
            <w:r w:rsidR="00ED7C09" w:rsidRPr="00F615B7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pl-PL"/>
              </w:rPr>
              <w:t>2</w:t>
            </w: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i.v dzień 1 oraz fluorouracyl wlew ciągły i.v. 800 mg/</w:t>
            </w:r>
            <w:r w:rsidR="00ED7C0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m</w:t>
            </w:r>
            <w:r w:rsidR="00ED7C09" w:rsidRPr="00F615B7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pl-PL"/>
              </w:rPr>
              <w:t>2</w:t>
            </w: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na dobę dni 1-5; cykle powtarzane co 3 tygodnie;</w:t>
            </w:r>
          </w:p>
          <w:p w:rsidR="004251AD" w:rsidRPr="00F615B7" w:rsidRDefault="00ED7C09" w:rsidP="00F615B7">
            <w:pPr>
              <w:pStyle w:val="Akapitzlist"/>
              <w:numPr>
                <w:ilvl w:val="0"/>
                <w:numId w:val="39"/>
              </w:numPr>
              <w:spacing w:before="120" w:after="120"/>
              <w:ind w:left="454" w:hanging="284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cisplatyna 80 mg/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pl-PL"/>
              </w:rPr>
              <w:t>2</w:t>
            </w:r>
            <w:r w:rsidR="003615D8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CB163F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i.v dzień 1 oraz kapecytabina 1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000 </w:t>
            </w:r>
            <w:r w:rsidR="003615D8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mg/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m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pl-PL"/>
              </w:rPr>
              <w:t>2</w:t>
            </w:r>
            <w:r w:rsidR="003615D8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2 x dziennie p.o. w dniach 1-14; cykle powtarzane co 3 tygodnie</w:t>
            </w:r>
            <w:r w:rsidR="00954E7E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.</w:t>
            </w:r>
          </w:p>
          <w:p w:rsidR="00ED7C09" w:rsidRPr="00F615B7" w:rsidRDefault="003615D8" w:rsidP="00F615B7">
            <w:pPr>
              <w:spacing w:before="120" w:after="120"/>
              <w:ind w:left="5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Dopuszczalne jest zmniejsze</w:t>
            </w:r>
            <w:r w:rsidR="00ED7C0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nie dawek leków cytotoksycznych 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maksymalnie o 25% w zależności od toksyczności lub opóź</w:t>
            </w:r>
            <w:r w:rsidR="008B4135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nienie podania kolejnego kursu.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  <w:p w:rsidR="003615D8" w:rsidRPr="00F615B7" w:rsidRDefault="003615D8" w:rsidP="00F615B7">
            <w:pPr>
              <w:ind w:left="5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7B45A7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przypadku nietolerancji jednej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z fluoropirymidyn możliwa jest zmiana schematu chemioterapii na alternatywny (zamiana fluorouracylu na kapecytabinę lub odwrotnie).</w:t>
            </w:r>
          </w:p>
          <w:p w:rsidR="006A68EA" w:rsidRPr="00F615B7" w:rsidRDefault="006A68EA" w:rsidP="00F615B7">
            <w:pPr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</w:p>
          <w:p w:rsidR="006A68EA" w:rsidRPr="00F615B7" w:rsidRDefault="006A68EA" w:rsidP="00F615B7">
            <w:pPr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 xml:space="preserve"> </w:t>
            </w:r>
          </w:p>
        </w:tc>
        <w:tc>
          <w:tcPr>
            <w:tcW w:w="1744" w:type="pct"/>
            <w:shd w:val="clear" w:color="auto" w:fill="auto"/>
          </w:tcPr>
          <w:p w:rsidR="00A525B6" w:rsidRPr="00F615B7" w:rsidRDefault="00954E7E" w:rsidP="00E62932">
            <w:pPr>
              <w:pStyle w:val="Akapitzlist"/>
              <w:numPr>
                <w:ilvl w:val="0"/>
                <w:numId w:val="40"/>
              </w:numPr>
              <w:snapToGrid w:val="0"/>
              <w:ind w:left="409" w:hanging="454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lastRenderedPageBreak/>
              <w:t>B</w:t>
            </w:r>
            <w:r w:rsidR="00400131"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a</w:t>
            </w: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dania</w:t>
            </w:r>
            <w:r w:rsidR="008B4135"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przy kwalifikacji</w:t>
            </w:r>
          </w:p>
          <w:p w:rsidR="00400131" w:rsidRPr="00F615B7" w:rsidRDefault="004347FA" w:rsidP="00E62932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b</w:t>
            </w:r>
            <w:r w:rsidR="00400131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adanie immunohistochemiczne (ocena nadekspresji rece</w:t>
            </w:r>
            <w:r w:rsidR="008B4135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ptora HER2</w:t>
            </w:r>
            <w:r w:rsidR="00400131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)</w:t>
            </w:r>
            <w:r w:rsidR="00110769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;</w:t>
            </w:r>
          </w:p>
          <w:p w:rsidR="00400131" w:rsidRPr="00F615B7" w:rsidRDefault="004347FA" w:rsidP="00D5604F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</w:t>
            </w:r>
            <w:r w:rsidR="008B321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orfologia krwi </w:t>
            </w:r>
            <w:r w:rsidR="008B4135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 rozmazem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;</w:t>
            </w:r>
          </w:p>
          <w:p w:rsidR="00110769" w:rsidRPr="00F615B7" w:rsidRDefault="004347FA" w:rsidP="00D5604F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</w:t>
            </w:r>
            <w:r w:rsidR="0011076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adania biochemiczne:</w:t>
            </w:r>
          </w:p>
          <w:p w:rsidR="00110769" w:rsidRPr="00F615B7" w:rsidRDefault="0025720B" w:rsidP="00D5604F">
            <w:pPr>
              <w:spacing w:after="0"/>
              <w:ind w:left="510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a)</w:t>
            </w:r>
            <w:r w:rsidR="00110769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8B321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tężenie kreatyniny;</w:t>
            </w:r>
          </w:p>
          <w:p w:rsidR="00110769" w:rsidRPr="00F615B7" w:rsidRDefault="0025720B" w:rsidP="00D5604F">
            <w:pPr>
              <w:spacing w:after="0"/>
              <w:ind w:left="510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b) </w:t>
            </w:r>
            <w:r w:rsidR="00110769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stężenie </w:t>
            </w:r>
            <w:r w:rsidR="00400131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AL</w:t>
            </w:r>
            <w:r w:rsidR="008B321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AT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;</w:t>
            </w:r>
          </w:p>
          <w:p w:rsidR="00110769" w:rsidRPr="00F615B7" w:rsidRDefault="0025720B" w:rsidP="00D5604F">
            <w:pPr>
              <w:spacing w:after="0"/>
              <w:ind w:left="510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c)</w:t>
            </w:r>
            <w:r w:rsidR="00110769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stężenie </w:t>
            </w:r>
            <w:r w:rsidR="008B321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As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pAT;</w:t>
            </w:r>
          </w:p>
          <w:p w:rsidR="00110769" w:rsidRPr="00F615B7" w:rsidRDefault="0025720B" w:rsidP="00D5604F">
            <w:pPr>
              <w:spacing w:after="0"/>
              <w:ind w:left="510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d) 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stężenie bilirubiny;</w:t>
            </w:r>
          </w:p>
          <w:p w:rsidR="00110769" w:rsidRPr="00F615B7" w:rsidRDefault="0025720B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e)</w:t>
            </w:r>
            <w:r w:rsidR="0011076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B321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stężenie sodu</w:t>
            </w:r>
            <w:r w:rsidR="00456C7D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:rsidR="00110769" w:rsidRPr="00F615B7" w:rsidRDefault="0025720B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f) </w:t>
            </w:r>
            <w:r w:rsidR="0011076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stężenie</w:t>
            </w:r>
            <w:r w:rsidR="008B321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potasu</w:t>
            </w:r>
            <w:r w:rsidR="00456C7D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:rsidR="0005669B" w:rsidRPr="00F615B7" w:rsidRDefault="0025720B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g) </w:t>
            </w:r>
            <w:r w:rsidR="0011076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stężenie </w:t>
            </w:r>
            <w:r w:rsidR="00456C7D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wapnia.</w:t>
            </w:r>
          </w:p>
          <w:p w:rsidR="00F26409" w:rsidRPr="00F615B7" w:rsidRDefault="008B3212" w:rsidP="00D5604F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RTG lub KT klatki piersiowej (wykonane w ciągu ostatnich 4 tyg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odni) – wybór rodzaju badania w </w:t>
            </w: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zależności od możliwości oceny wymiarów zmian;</w:t>
            </w:r>
          </w:p>
          <w:p w:rsidR="00F26409" w:rsidRPr="00F615B7" w:rsidRDefault="008B3212" w:rsidP="00D5604F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KT jamy brzusznej (wykona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ne w ciągu ostatnich 4 </w:t>
            </w: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tygodni)</w:t>
            </w:r>
            <w:r w:rsidR="00FC517C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;</w:t>
            </w:r>
          </w:p>
          <w:p w:rsidR="00F26409" w:rsidRPr="00F615B7" w:rsidRDefault="004347FA" w:rsidP="00D5604F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</w:t>
            </w:r>
            <w:r w:rsidR="008B321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cyntygrafia kośćca (w zależności od oceny sytuacji klinicznej); </w:t>
            </w:r>
          </w:p>
          <w:p w:rsidR="008B3212" w:rsidRPr="00F615B7" w:rsidRDefault="008B3212" w:rsidP="00D5604F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EKG i ECHO</w:t>
            </w:r>
            <w:r w:rsidR="00974E8E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lub MRI</w:t>
            </w: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, konsultacja kardiologiczna - jedynie w przypadku wskazań klinicznych dotyczących wydolności układu sercowo-naczyniowego lub nieprawidłowych wyników EKG lub ECHO</w:t>
            </w:r>
            <w:r w:rsidR="00974E8E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lub MRI</w:t>
            </w: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;</w:t>
            </w:r>
          </w:p>
          <w:p w:rsidR="008B3212" w:rsidRPr="00F615B7" w:rsidRDefault="004347FA" w:rsidP="00D5604F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</w:t>
            </w:r>
            <w:r w:rsidR="008B3212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róba ciążowa (u kobiet z możliwością zajścia w ciążę);</w:t>
            </w:r>
          </w:p>
          <w:p w:rsidR="008B3212" w:rsidRPr="00F615B7" w:rsidRDefault="00974E8E" w:rsidP="00D5604F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KT lub MRI mózgu </w:t>
            </w:r>
            <w:r w:rsidR="008B3212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(tylko, gdy są wskazania kliniczne).</w:t>
            </w:r>
          </w:p>
          <w:p w:rsidR="004347FA" w:rsidRDefault="004347FA" w:rsidP="00F615B7">
            <w:pPr>
              <w:spacing w:before="120" w:after="120"/>
              <w:ind w:left="408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:rsidR="00E62932" w:rsidRPr="00F615B7" w:rsidRDefault="00E62932" w:rsidP="00F615B7">
            <w:pPr>
              <w:spacing w:before="120" w:after="120"/>
              <w:ind w:left="408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:rsidR="006A68EA" w:rsidRPr="00F615B7" w:rsidRDefault="00954E7E" w:rsidP="00F615B7">
            <w:pPr>
              <w:pStyle w:val="Akapitzlist"/>
              <w:numPr>
                <w:ilvl w:val="0"/>
                <w:numId w:val="40"/>
              </w:numPr>
              <w:snapToGrid w:val="0"/>
              <w:spacing w:before="120" w:after="120"/>
              <w:ind w:left="409" w:hanging="453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lastRenderedPageBreak/>
              <w:t>Monitorowanie leczenia</w:t>
            </w:r>
          </w:p>
          <w:p w:rsidR="001D53B9" w:rsidRPr="00F615B7" w:rsidRDefault="004347FA" w:rsidP="00D5604F">
            <w:pPr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</w:t>
            </w:r>
            <w:r w:rsidR="008B4135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orfologia krwi</w:t>
            </w:r>
            <w:r w:rsidR="00400131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(z rozmazem)</w:t>
            </w:r>
            <w:r w:rsidR="001D53B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przed każdym kolejnym cyklem chemioterapii (zgodnie z rytmem kolejnych cykli), a następnie ni</w:t>
            </w:r>
            <w:r w:rsidR="00456C7D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 rzadziej, niż co 3 miesiące w </w:t>
            </w:r>
            <w:r w:rsidR="001D53B9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czasie wyłącznego stosowania trastuzumabu; </w:t>
            </w:r>
          </w:p>
          <w:p w:rsidR="00527964" w:rsidRPr="00F615B7" w:rsidRDefault="004347FA" w:rsidP="00D5604F">
            <w:pPr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</w:t>
            </w:r>
            <w:r w:rsidR="00527964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adania biochemiczne:</w:t>
            </w:r>
          </w:p>
          <w:p w:rsidR="00954E7E" w:rsidRPr="00F615B7" w:rsidRDefault="00456C7D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a) stężenie kreatyniny;</w:t>
            </w:r>
          </w:p>
          <w:p w:rsidR="00954E7E" w:rsidRPr="00F615B7" w:rsidRDefault="00456C7D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b) stężenie ALAT;</w:t>
            </w:r>
          </w:p>
          <w:p w:rsidR="00954E7E" w:rsidRPr="00F615B7" w:rsidRDefault="00456C7D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c) stężenie AspAT;</w:t>
            </w:r>
          </w:p>
          <w:p w:rsidR="00954E7E" w:rsidRPr="00F615B7" w:rsidRDefault="00456C7D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d) stężenie bilirubiny;</w:t>
            </w:r>
          </w:p>
          <w:p w:rsidR="00954E7E" w:rsidRPr="00F615B7" w:rsidRDefault="00456C7D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e) stężenie sodu;</w:t>
            </w:r>
          </w:p>
          <w:p w:rsidR="00954E7E" w:rsidRPr="00F615B7" w:rsidRDefault="00456C7D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f) stężenie potasu;</w:t>
            </w:r>
          </w:p>
          <w:p w:rsidR="00954E7E" w:rsidRPr="00F615B7" w:rsidRDefault="00954E7E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g) stężenie wapnia.</w:t>
            </w:r>
          </w:p>
          <w:p w:rsidR="00954E7E" w:rsidRPr="00F615B7" w:rsidRDefault="00954E7E" w:rsidP="00D5604F">
            <w:pPr>
              <w:spacing w:after="0"/>
              <w:ind w:left="51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Badania wykonuje się przed każdym kolejnym cyklem chemioterapii (zgodn</w:t>
            </w:r>
            <w:r w:rsidR="00456C7D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ie z rytmem kolejnych cykli), a 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następnie nie rzadziej, niż co 3 miesiące w czasie wyłącznego stosowania trastuzumabu.</w:t>
            </w:r>
          </w:p>
          <w:p w:rsidR="001D53B9" w:rsidRPr="00F615B7" w:rsidRDefault="001D53B9" w:rsidP="00D5604F">
            <w:pPr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EKG i ECHO </w:t>
            </w:r>
            <w:r w:rsidR="00974E8E"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lub MRI </w:t>
            </w: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 trzecim oraz szóstym miesiącu, a następnie w przypadku klinicznych wskazań;</w:t>
            </w:r>
          </w:p>
          <w:p w:rsidR="001D53B9" w:rsidRPr="00F615B7" w:rsidRDefault="001D53B9" w:rsidP="00D5604F">
            <w:pPr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KT jamy brzusznej oraz RTG lub KT klatki piersiowej, co 3 miesiące lub w przypadku wskazań klinicznych (wybór metody w zależności od wyjściowej metody obrazowej);</w:t>
            </w:r>
          </w:p>
          <w:p w:rsidR="006A68EA" w:rsidRPr="00327F38" w:rsidRDefault="004347FA" w:rsidP="00D5604F">
            <w:pPr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615B7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</w:t>
            </w:r>
            <w:r w:rsidR="001D53B9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cyntygrafia kośćca (w odniesieniu do chor</w:t>
            </w:r>
            <w:r w:rsidR="00456C7D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ych z </w:t>
            </w:r>
            <w:r w:rsidR="001D53B9" w:rsidRPr="00F615B7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przerzutami do kości) nie częściej, niż co 6 miesięcy.</w:t>
            </w:r>
          </w:p>
          <w:p w:rsidR="00327F38" w:rsidRDefault="00327F38" w:rsidP="00327F38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</w:p>
          <w:p w:rsidR="00327F38" w:rsidRPr="00327F38" w:rsidRDefault="00327F38" w:rsidP="00327F38">
            <w:pPr>
              <w:pStyle w:val="Akapitzlist"/>
              <w:numPr>
                <w:ilvl w:val="0"/>
                <w:numId w:val="40"/>
              </w:numPr>
              <w:snapToGrid w:val="0"/>
              <w:spacing w:before="120" w:after="120"/>
              <w:ind w:left="409" w:hanging="453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327F38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Monitorowanie programu</w:t>
            </w:r>
          </w:p>
          <w:p w:rsidR="00327F38" w:rsidRPr="00327F38" w:rsidRDefault="00327F38" w:rsidP="00327F38">
            <w:pPr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27F38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gromadzenie w dokumentacji medycznej pacjenta danych dotyczących monitorowania leczenia i każdorazowe ich przedstawianie na żądanie kontrolerów  Narodowego Funduszu Zdrowia;</w:t>
            </w:r>
          </w:p>
          <w:p w:rsidR="00327F38" w:rsidRPr="00327F38" w:rsidRDefault="00327F38" w:rsidP="00327F38">
            <w:pPr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27F38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uzupełnienie danych zawartych w rejestrze (SMPT) dostępnym</w:t>
            </w:r>
            <w:bookmarkStart w:id="0" w:name="_GoBack"/>
            <w:bookmarkEnd w:id="0"/>
            <w:r w:rsidRPr="00327F38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za pomocą aplikacji internetowej udostępnionej przez OW NFZ, z częstotliwością zgodną z opisem programu oraz na zakończenie leczenia;</w:t>
            </w:r>
          </w:p>
          <w:p w:rsidR="00327F38" w:rsidRPr="00824707" w:rsidRDefault="00327F38" w:rsidP="00327F38">
            <w:pPr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27F38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przekazywanie informacji sprawozdawczo-rozliczeniowych </w:t>
            </w:r>
            <w:r w:rsidRPr="00327F38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do NFZ: informacje przekazuje się do NFZ w formie papierowej lub w formie elektronicznej, zgodnie z wymaganiami opublikowanymi przez Narodowy Fundusz Zdrowia.</w:t>
            </w:r>
          </w:p>
        </w:tc>
      </w:tr>
    </w:tbl>
    <w:p w:rsidR="00211BF2" w:rsidRPr="00CB163F" w:rsidRDefault="00211BF2">
      <w:pPr>
        <w:rPr>
          <w:rFonts w:ascii="Times New Roman" w:hAnsi="Times New Roman" w:cs="Times New Roman"/>
          <w:lang w:val="pl-PL"/>
        </w:rPr>
      </w:pPr>
    </w:p>
    <w:sectPr w:rsidR="00211BF2" w:rsidRPr="00CB163F" w:rsidSect="00F615B7">
      <w:pgSz w:w="16838" w:h="11906" w:orient="landscape"/>
      <w:pgMar w:top="141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33" w:rsidRDefault="00542033" w:rsidP="0066305F">
      <w:pPr>
        <w:spacing w:after="0" w:line="240" w:lineRule="auto"/>
      </w:pPr>
      <w:r>
        <w:separator/>
      </w:r>
    </w:p>
  </w:endnote>
  <w:endnote w:type="continuationSeparator" w:id="0">
    <w:p w:rsidR="00542033" w:rsidRDefault="00542033" w:rsidP="0066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">
    <w:altName w:val="Cambria Math"/>
    <w:charset w:val="00"/>
    <w:family w:val="roman"/>
    <w:pitch w:val="variable"/>
    <w:sig w:usb0="00000001" w:usb1="5000E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33" w:rsidRDefault="00542033" w:rsidP="0066305F">
      <w:pPr>
        <w:spacing w:after="0" w:line="240" w:lineRule="auto"/>
      </w:pPr>
      <w:r>
        <w:separator/>
      </w:r>
    </w:p>
  </w:footnote>
  <w:footnote w:type="continuationSeparator" w:id="0">
    <w:p w:rsidR="00542033" w:rsidRDefault="00542033" w:rsidP="0066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Nagwek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Nagwek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Nagwek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D4A8D6E4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3C68AA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22A24DC"/>
    <w:multiLevelType w:val="hybridMultilevel"/>
    <w:tmpl w:val="6FD4B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55570"/>
    <w:multiLevelType w:val="hybridMultilevel"/>
    <w:tmpl w:val="09020CE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A7E5F"/>
    <w:multiLevelType w:val="hybridMultilevel"/>
    <w:tmpl w:val="9DDEC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834C6"/>
    <w:multiLevelType w:val="hybridMultilevel"/>
    <w:tmpl w:val="D06442D8"/>
    <w:lvl w:ilvl="0" w:tplc="72BC25D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30"/>
    <w:multiLevelType w:val="hybridMultilevel"/>
    <w:tmpl w:val="794E0E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297971"/>
    <w:multiLevelType w:val="hybridMultilevel"/>
    <w:tmpl w:val="F0C0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85849"/>
    <w:multiLevelType w:val="hybridMultilevel"/>
    <w:tmpl w:val="0D84E628"/>
    <w:lvl w:ilvl="0" w:tplc="A976B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B6DFB"/>
    <w:multiLevelType w:val="hybridMultilevel"/>
    <w:tmpl w:val="D5F6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E23DBA"/>
    <w:multiLevelType w:val="hybridMultilevel"/>
    <w:tmpl w:val="D01A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E15414"/>
    <w:multiLevelType w:val="hybridMultilevel"/>
    <w:tmpl w:val="6402FDE2"/>
    <w:lvl w:ilvl="0" w:tplc="E48452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1B1CCD"/>
    <w:multiLevelType w:val="hybridMultilevel"/>
    <w:tmpl w:val="AF3E86C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7508C8"/>
    <w:multiLevelType w:val="hybridMultilevel"/>
    <w:tmpl w:val="163C8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63E88"/>
    <w:multiLevelType w:val="hybridMultilevel"/>
    <w:tmpl w:val="F1FE31B2"/>
    <w:lvl w:ilvl="0" w:tplc="701C7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6442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B4050"/>
    <w:multiLevelType w:val="multilevel"/>
    <w:tmpl w:val="A5C8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2A511CC"/>
    <w:multiLevelType w:val="hybridMultilevel"/>
    <w:tmpl w:val="E4B8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B7A04"/>
    <w:multiLevelType w:val="hybridMultilevel"/>
    <w:tmpl w:val="CC6E4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8C3818"/>
    <w:multiLevelType w:val="hybridMultilevel"/>
    <w:tmpl w:val="B9BC1188"/>
    <w:lvl w:ilvl="0" w:tplc="0415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>
    <w:nsid w:val="4265558B"/>
    <w:multiLevelType w:val="multilevel"/>
    <w:tmpl w:val="2E90C8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B124B2"/>
    <w:multiLevelType w:val="hybridMultilevel"/>
    <w:tmpl w:val="16680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8486C"/>
    <w:multiLevelType w:val="hybridMultilevel"/>
    <w:tmpl w:val="A5A0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40D56"/>
    <w:multiLevelType w:val="hybridMultilevel"/>
    <w:tmpl w:val="2E90C8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0D35CE"/>
    <w:multiLevelType w:val="hybridMultilevel"/>
    <w:tmpl w:val="D688A83E"/>
    <w:lvl w:ilvl="0" w:tplc="CC80F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pacing w:val="-1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294E04"/>
    <w:multiLevelType w:val="hybridMultilevel"/>
    <w:tmpl w:val="3890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A06342"/>
    <w:multiLevelType w:val="multilevel"/>
    <w:tmpl w:val="4E1E4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4AD28C3"/>
    <w:multiLevelType w:val="hybridMultilevel"/>
    <w:tmpl w:val="CAACC5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D8436C"/>
    <w:multiLevelType w:val="hybridMultilevel"/>
    <w:tmpl w:val="771E4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267D0"/>
    <w:multiLevelType w:val="hybridMultilevel"/>
    <w:tmpl w:val="3CCA62CC"/>
    <w:lvl w:ilvl="0" w:tplc="04150011">
      <w:start w:val="1"/>
      <w:numFmt w:val="decimal"/>
      <w:lvlText w:val="%1)"/>
      <w:lvlJc w:val="left"/>
      <w:pPr>
        <w:ind w:left="512" w:hanging="360"/>
      </w:pPr>
    </w:lvl>
    <w:lvl w:ilvl="1" w:tplc="04090019" w:tentative="1">
      <w:start w:val="1"/>
      <w:numFmt w:val="lowerLetter"/>
      <w:lvlText w:val="%2."/>
      <w:lvlJc w:val="left"/>
      <w:pPr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0">
    <w:nsid w:val="5D1D77C2"/>
    <w:multiLevelType w:val="hybridMultilevel"/>
    <w:tmpl w:val="4D529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7E42B0"/>
    <w:multiLevelType w:val="hybridMultilevel"/>
    <w:tmpl w:val="3CD404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DF4BCD"/>
    <w:multiLevelType w:val="hybridMultilevel"/>
    <w:tmpl w:val="58203700"/>
    <w:lvl w:ilvl="0" w:tplc="72BC25D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3F1674"/>
    <w:multiLevelType w:val="hybridMultilevel"/>
    <w:tmpl w:val="771E4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D86DC8"/>
    <w:multiLevelType w:val="hybridMultilevel"/>
    <w:tmpl w:val="D7CA07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C0FC0"/>
    <w:multiLevelType w:val="hybridMultilevel"/>
    <w:tmpl w:val="F8404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E3462"/>
    <w:multiLevelType w:val="hybridMultilevel"/>
    <w:tmpl w:val="B9BC1188"/>
    <w:lvl w:ilvl="0" w:tplc="0415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7">
    <w:nsid w:val="715641A3"/>
    <w:multiLevelType w:val="hybridMultilevel"/>
    <w:tmpl w:val="8B48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B50079"/>
    <w:multiLevelType w:val="hybridMultilevel"/>
    <w:tmpl w:val="B9BC1188"/>
    <w:lvl w:ilvl="0" w:tplc="0415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9">
    <w:nsid w:val="72B840CE"/>
    <w:multiLevelType w:val="hybridMultilevel"/>
    <w:tmpl w:val="AA5C3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24339C"/>
    <w:multiLevelType w:val="hybridMultilevel"/>
    <w:tmpl w:val="7C3EF762"/>
    <w:lvl w:ilvl="0" w:tplc="B336A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277028"/>
    <w:multiLevelType w:val="hybridMultilevel"/>
    <w:tmpl w:val="1E286EB4"/>
    <w:lvl w:ilvl="0" w:tplc="72BC25D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6"/>
  </w:num>
  <w:num w:numId="5">
    <w:abstractNumId w:val="16"/>
  </w:num>
  <w:num w:numId="6">
    <w:abstractNumId w:val="23"/>
  </w:num>
  <w:num w:numId="7">
    <w:abstractNumId w:val="20"/>
  </w:num>
  <w:num w:numId="8">
    <w:abstractNumId w:val="10"/>
  </w:num>
  <w:num w:numId="9">
    <w:abstractNumId w:val="18"/>
  </w:num>
  <w:num w:numId="10">
    <w:abstractNumId w:val="11"/>
  </w:num>
  <w:num w:numId="11">
    <w:abstractNumId w:val="8"/>
  </w:num>
  <w:num w:numId="12">
    <w:abstractNumId w:val="25"/>
  </w:num>
  <w:num w:numId="13">
    <w:abstractNumId w:val="22"/>
  </w:num>
  <w:num w:numId="14">
    <w:abstractNumId w:val="21"/>
  </w:num>
  <w:num w:numId="15">
    <w:abstractNumId w:val="15"/>
  </w:num>
  <w:num w:numId="16">
    <w:abstractNumId w:val="35"/>
  </w:num>
  <w:num w:numId="17">
    <w:abstractNumId w:val="3"/>
  </w:num>
  <w:num w:numId="18">
    <w:abstractNumId w:val="27"/>
  </w:num>
  <w:num w:numId="19">
    <w:abstractNumId w:val="31"/>
  </w:num>
  <w:num w:numId="20">
    <w:abstractNumId w:val="37"/>
  </w:num>
  <w:num w:numId="21">
    <w:abstractNumId w:val="39"/>
  </w:num>
  <w:num w:numId="22">
    <w:abstractNumId w:val="40"/>
  </w:num>
  <w:num w:numId="23">
    <w:abstractNumId w:val="5"/>
  </w:num>
  <w:num w:numId="24">
    <w:abstractNumId w:val="28"/>
  </w:num>
  <w:num w:numId="25">
    <w:abstractNumId w:val="33"/>
  </w:num>
  <w:num w:numId="26">
    <w:abstractNumId w:val="38"/>
  </w:num>
  <w:num w:numId="27">
    <w:abstractNumId w:val="12"/>
  </w:num>
  <w:num w:numId="28">
    <w:abstractNumId w:val="14"/>
  </w:num>
  <w:num w:numId="29">
    <w:abstractNumId w:val="34"/>
  </w:num>
  <w:num w:numId="30">
    <w:abstractNumId w:val="6"/>
  </w:num>
  <w:num w:numId="31">
    <w:abstractNumId w:val="41"/>
  </w:num>
  <w:num w:numId="32">
    <w:abstractNumId w:val="30"/>
  </w:num>
  <w:num w:numId="33">
    <w:abstractNumId w:val="13"/>
  </w:num>
  <w:num w:numId="34">
    <w:abstractNumId w:val="7"/>
  </w:num>
  <w:num w:numId="35">
    <w:abstractNumId w:val="32"/>
  </w:num>
  <w:num w:numId="36">
    <w:abstractNumId w:val="17"/>
  </w:num>
  <w:num w:numId="37">
    <w:abstractNumId w:val="9"/>
  </w:num>
  <w:num w:numId="38">
    <w:abstractNumId w:val="29"/>
  </w:num>
  <w:num w:numId="39">
    <w:abstractNumId w:val="4"/>
  </w:num>
  <w:num w:numId="40">
    <w:abstractNumId w:val="24"/>
  </w:num>
  <w:num w:numId="41">
    <w:abstractNumId w:val="19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93"/>
    <w:rsid w:val="00056117"/>
    <w:rsid w:val="00056193"/>
    <w:rsid w:val="0005669B"/>
    <w:rsid w:val="000B6F37"/>
    <w:rsid w:val="000C7AE5"/>
    <w:rsid w:val="000E5713"/>
    <w:rsid w:val="00110769"/>
    <w:rsid w:val="00136447"/>
    <w:rsid w:val="001B11B7"/>
    <w:rsid w:val="001D53B9"/>
    <w:rsid w:val="0020408C"/>
    <w:rsid w:val="00211BF2"/>
    <w:rsid w:val="00224F2B"/>
    <w:rsid w:val="002340CB"/>
    <w:rsid w:val="00250FEB"/>
    <w:rsid w:val="0025189A"/>
    <w:rsid w:val="0025720B"/>
    <w:rsid w:val="00282AD9"/>
    <w:rsid w:val="002B3BB6"/>
    <w:rsid w:val="002D2840"/>
    <w:rsid w:val="002D4A55"/>
    <w:rsid w:val="002F0B23"/>
    <w:rsid w:val="002F6A0B"/>
    <w:rsid w:val="0032484E"/>
    <w:rsid w:val="00327DE7"/>
    <w:rsid w:val="00327F38"/>
    <w:rsid w:val="00331E4D"/>
    <w:rsid w:val="00336CA5"/>
    <w:rsid w:val="003615D8"/>
    <w:rsid w:val="003A10C4"/>
    <w:rsid w:val="003A7E24"/>
    <w:rsid w:val="003B75F7"/>
    <w:rsid w:val="003C2E9C"/>
    <w:rsid w:val="003C33BF"/>
    <w:rsid w:val="003C4AAC"/>
    <w:rsid w:val="003E7B7F"/>
    <w:rsid w:val="00400131"/>
    <w:rsid w:val="00416A5A"/>
    <w:rsid w:val="004251AD"/>
    <w:rsid w:val="004347FA"/>
    <w:rsid w:val="004362EC"/>
    <w:rsid w:val="00456C7D"/>
    <w:rsid w:val="00457263"/>
    <w:rsid w:val="00460E3B"/>
    <w:rsid w:val="004B51FD"/>
    <w:rsid w:val="004C661E"/>
    <w:rsid w:val="00527964"/>
    <w:rsid w:val="00542033"/>
    <w:rsid w:val="005430DB"/>
    <w:rsid w:val="00574ADB"/>
    <w:rsid w:val="005D5929"/>
    <w:rsid w:val="005E354E"/>
    <w:rsid w:val="005F3CC8"/>
    <w:rsid w:val="005F6249"/>
    <w:rsid w:val="005F628D"/>
    <w:rsid w:val="00607103"/>
    <w:rsid w:val="0066305F"/>
    <w:rsid w:val="006633CE"/>
    <w:rsid w:val="00676581"/>
    <w:rsid w:val="00684F2D"/>
    <w:rsid w:val="006A68EA"/>
    <w:rsid w:val="006E5392"/>
    <w:rsid w:val="00724541"/>
    <w:rsid w:val="00733800"/>
    <w:rsid w:val="00795897"/>
    <w:rsid w:val="007A738B"/>
    <w:rsid w:val="007B45A7"/>
    <w:rsid w:val="007B738F"/>
    <w:rsid w:val="007C775B"/>
    <w:rsid w:val="007E2501"/>
    <w:rsid w:val="00824707"/>
    <w:rsid w:val="00833E1D"/>
    <w:rsid w:val="00835F2C"/>
    <w:rsid w:val="008419B2"/>
    <w:rsid w:val="008530FC"/>
    <w:rsid w:val="00871591"/>
    <w:rsid w:val="008B3212"/>
    <w:rsid w:val="008B4135"/>
    <w:rsid w:val="008C560F"/>
    <w:rsid w:val="008F15A6"/>
    <w:rsid w:val="00911985"/>
    <w:rsid w:val="009164C1"/>
    <w:rsid w:val="009175A2"/>
    <w:rsid w:val="00917AD2"/>
    <w:rsid w:val="009409E6"/>
    <w:rsid w:val="00954E7E"/>
    <w:rsid w:val="00974E8E"/>
    <w:rsid w:val="0097734B"/>
    <w:rsid w:val="009A136F"/>
    <w:rsid w:val="009E5AB2"/>
    <w:rsid w:val="00A03C67"/>
    <w:rsid w:val="00A12BBE"/>
    <w:rsid w:val="00A2402F"/>
    <w:rsid w:val="00A2440A"/>
    <w:rsid w:val="00A525B6"/>
    <w:rsid w:val="00A656B5"/>
    <w:rsid w:val="00A6577F"/>
    <w:rsid w:val="00AD62E9"/>
    <w:rsid w:val="00B04112"/>
    <w:rsid w:val="00B40DBF"/>
    <w:rsid w:val="00B46C10"/>
    <w:rsid w:val="00B55DF7"/>
    <w:rsid w:val="00B637D3"/>
    <w:rsid w:val="00B6443D"/>
    <w:rsid w:val="00BA2217"/>
    <w:rsid w:val="00BB1D1C"/>
    <w:rsid w:val="00C340B0"/>
    <w:rsid w:val="00C35E41"/>
    <w:rsid w:val="00CA5C13"/>
    <w:rsid w:val="00CB163F"/>
    <w:rsid w:val="00D5604F"/>
    <w:rsid w:val="00D92812"/>
    <w:rsid w:val="00DA648C"/>
    <w:rsid w:val="00DD0208"/>
    <w:rsid w:val="00E06560"/>
    <w:rsid w:val="00E127E2"/>
    <w:rsid w:val="00E53FE1"/>
    <w:rsid w:val="00E62932"/>
    <w:rsid w:val="00E6741A"/>
    <w:rsid w:val="00E70AE2"/>
    <w:rsid w:val="00EA79B8"/>
    <w:rsid w:val="00ED7C09"/>
    <w:rsid w:val="00F02B5F"/>
    <w:rsid w:val="00F26409"/>
    <w:rsid w:val="00F54AE2"/>
    <w:rsid w:val="00F615B7"/>
    <w:rsid w:val="00FB0CD0"/>
    <w:rsid w:val="00FC517C"/>
    <w:rsid w:val="00F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66F289D-BDF5-46FD-B311-DA140B4D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7734B"/>
    <w:pPr>
      <w:suppressAutoHyphens/>
      <w:spacing w:after="200" w:line="276" w:lineRule="auto"/>
    </w:pPr>
    <w:rPr>
      <w:rFonts w:ascii="Minion" w:eastAsia="PMingLiU" w:hAnsi="Minion" w:cs="Calibri"/>
      <w:sz w:val="22"/>
      <w:szCs w:val="22"/>
      <w:lang w:val="en-US" w:eastAsia="ar-SA"/>
    </w:rPr>
  </w:style>
  <w:style w:type="paragraph" w:styleId="Nagwek1">
    <w:name w:val="heading 1"/>
    <w:basedOn w:val="Normalny"/>
    <w:next w:val="Normalny"/>
    <w:qFormat/>
    <w:rsid w:val="0097734B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qFormat/>
    <w:rsid w:val="0097734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qFormat/>
    <w:rsid w:val="0097734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qFormat/>
    <w:rsid w:val="0097734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Nagwek5">
    <w:name w:val="heading 5"/>
    <w:basedOn w:val="Normalny"/>
    <w:next w:val="Normalny"/>
    <w:qFormat/>
    <w:rsid w:val="0097734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Nagwek6">
    <w:name w:val="heading 6"/>
    <w:basedOn w:val="Normalny"/>
    <w:next w:val="Normalny"/>
    <w:qFormat/>
    <w:rsid w:val="0097734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Nagwek7">
    <w:name w:val="heading 7"/>
    <w:basedOn w:val="Normalny"/>
    <w:next w:val="Normalny"/>
    <w:qFormat/>
    <w:rsid w:val="0097734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Nagwek8">
    <w:name w:val="heading 8"/>
    <w:basedOn w:val="Normalny"/>
    <w:next w:val="Normalny"/>
    <w:qFormat/>
    <w:rsid w:val="0097734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Nagwek9">
    <w:name w:val="heading 9"/>
    <w:basedOn w:val="Normalny"/>
    <w:next w:val="Normalny"/>
    <w:qFormat/>
    <w:rsid w:val="0097734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rsid w:val="0097734B"/>
  </w:style>
  <w:style w:type="character" w:customStyle="1" w:styleId="WW8Num2z0">
    <w:name w:val="WW8Num2z0"/>
    <w:rsid w:val="0097734B"/>
    <w:rPr>
      <w:rFonts w:ascii="Symbol" w:hAnsi="Symbol" w:cs="Symbol"/>
    </w:rPr>
  </w:style>
  <w:style w:type="character" w:customStyle="1" w:styleId="WW8Num2z1">
    <w:name w:val="WW8Num2z1"/>
    <w:rsid w:val="0097734B"/>
    <w:rPr>
      <w:rFonts w:ascii="Courier New" w:hAnsi="Courier New" w:cs="Courier New"/>
    </w:rPr>
  </w:style>
  <w:style w:type="character" w:customStyle="1" w:styleId="WW8Num2z2">
    <w:name w:val="WW8Num2z2"/>
    <w:rsid w:val="0097734B"/>
    <w:rPr>
      <w:rFonts w:ascii="Wingdings" w:hAnsi="Wingdings"/>
    </w:rPr>
  </w:style>
  <w:style w:type="character" w:customStyle="1" w:styleId="WW8Num2z3">
    <w:name w:val="WW8Num2z3"/>
    <w:rsid w:val="0097734B"/>
    <w:rPr>
      <w:rFonts w:ascii="Symbol" w:hAnsi="Symbol"/>
    </w:rPr>
  </w:style>
  <w:style w:type="character" w:customStyle="1" w:styleId="WW8Num4z0">
    <w:name w:val="WW8Num4z0"/>
    <w:rsid w:val="0097734B"/>
    <w:rPr>
      <w:rFonts w:ascii="Symbol" w:hAnsi="Symbol" w:cs="Symbol"/>
    </w:rPr>
  </w:style>
  <w:style w:type="character" w:customStyle="1" w:styleId="WW8Num4z1">
    <w:name w:val="WW8Num4z1"/>
    <w:rsid w:val="0097734B"/>
    <w:rPr>
      <w:rFonts w:ascii="Courier New" w:hAnsi="Courier New" w:cs="Courier New"/>
    </w:rPr>
  </w:style>
  <w:style w:type="character" w:customStyle="1" w:styleId="WW8Num4z2">
    <w:name w:val="WW8Num4z2"/>
    <w:rsid w:val="0097734B"/>
    <w:rPr>
      <w:rFonts w:ascii="Wingdings" w:hAnsi="Wingdings"/>
    </w:rPr>
  </w:style>
  <w:style w:type="character" w:customStyle="1" w:styleId="WW8Num4z3">
    <w:name w:val="WW8Num4z3"/>
    <w:rsid w:val="0097734B"/>
    <w:rPr>
      <w:rFonts w:ascii="Symbol" w:hAnsi="Symbol"/>
    </w:rPr>
  </w:style>
  <w:style w:type="character" w:customStyle="1" w:styleId="Heading1Char">
    <w:name w:val="Heading 1 Char"/>
    <w:rsid w:val="0097734B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rsid w:val="0097734B"/>
    <w:rPr>
      <w:rFonts w:ascii="Cambria" w:eastAsia="PMingLiU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sid w:val="0097734B"/>
    <w:rPr>
      <w:rFonts w:ascii="Cambria" w:eastAsia="PMingLiU" w:hAnsi="Cambria" w:cs="Times New Roman"/>
      <w:b/>
      <w:bCs/>
      <w:color w:val="4F81BD"/>
    </w:rPr>
  </w:style>
  <w:style w:type="character" w:customStyle="1" w:styleId="Heading4Char">
    <w:name w:val="Heading 4 Char"/>
    <w:rsid w:val="0097734B"/>
    <w:rPr>
      <w:rFonts w:ascii="Cambria" w:eastAsia="PMingLiU" w:hAnsi="Cambria" w:cs="Times New Roman"/>
      <w:b/>
      <w:bCs/>
      <w:i/>
      <w:iCs/>
      <w:color w:val="4F81BD"/>
    </w:rPr>
  </w:style>
  <w:style w:type="character" w:customStyle="1" w:styleId="Heading5Char">
    <w:name w:val="Heading 5 Char"/>
    <w:rsid w:val="0097734B"/>
    <w:rPr>
      <w:rFonts w:ascii="Cambria" w:eastAsia="PMingLiU" w:hAnsi="Cambria" w:cs="Times New Roman"/>
      <w:color w:val="243F60"/>
    </w:rPr>
  </w:style>
  <w:style w:type="character" w:customStyle="1" w:styleId="Heading6Char">
    <w:name w:val="Heading 6 Char"/>
    <w:rsid w:val="0097734B"/>
    <w:rPr>
      <w:rFonts w:ascii="Cambria" w:eastAsia="PMingLiU" w:hAnsi="Cambria" w:cs="Times New Roman"/>
      <w:i/>
      <w:iCs/>
      <w:color w:val="243F60"/>
    </w:rPr>
  </w:style>
  <w:style w:type="character" w:customStyle="1" w:styleId="Heading7Char">
    <w:name w:val="Heading 7 Char"/>
    <w:rsid w:val="0097734B"/>
    <w:rPr>
      <w:rFonts w:ascii="Cambria" w:eastAsia="PMingLiU" w:hAnsi="Cambria" w:cs="Times New Roman"/>
      <w:i/>
      <w:iCs/>
      <w:color w:val="404040"/>
    </w:rPr>
  </w:style>
  <w:style w:type="character" w:customStyle="1" w:styleId="Heading8Char">
    <w:name w:val="Heading 8 Char"/>
    <w:rsid w:val="0097734B"/>
    <w:rPr>
      <w:rFonts w:ascii="Cambria" w:eastAsia="PMingLiU" w:hAnsi="Cambria" w:cs="Times New Roman"/>
      <w:color w:val="404040"/>
      <w:sz w:val="20"/>
      <w:szCs w:val="20"/>
    </w:rPr>
  </w:style>
  <w:style w:type="character" w:customStyle="1" w:styleId="Heading9Char">
    <w:name w:val="Heading 9 Char"/>
    <w:rsid w:val="0097734B"/>
    <w:rPr>
      <w:rFonts w:ascii="Cambria" w:eastAsia="PMingLiU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rsid w:val="0097734B"/>
    <w:rPr>
      <w:rFonts w:ascii="Cambria" w:eastAsia="PMingLiU" w:hAnsi="Cambria" w:cs="Times New Roman"/>
      <w:color w:val="17365D"/>
      <w:spacing w:val="5"/>
      <w:kern w:val="1"/>
      <w:sz w:val="52"/>
      <w:szCs w:val="52"/>
    </w:rPr>
  </w:style>
  <w:style w:type="character" w:styleId="Tytuksiki">
    <w:name w:val="Book Title"/>
    <w:qFormat/>
    <w:rsid w:val="0097734B"/>
    <w:rPr>
      <w:b/>
      <w:bCs/>
      <w:smallCaps/>
      <w:spacing w:val="5"/>
    </w:rPr>
  </w:style>
  <w:style w:type="character" w:styleId="Odwoanieintensywne">
    <w:name w:val="Intense Reference"/>
    <w:qFormat/>
    <w:rsid w:val="0097734B"/>
    <w:rPr>
      <w:b/>
      <w:bCs/>
      <w:smallCaps/>
      <w:color w:val="C0504D"/>
      <w:spacing w:val="5"/>
      <w:u w:val="single"/>
    </w:rPr>
  </w:style>
  <w:style w:type="character" w:styleId="Odwoaniedelikatne">
    <w:name w:val="Subtle Reference"/>
    <w:qFormat/>
    <w:rsid w:val="0097734B"/>
    <w:rPr>
      <w:smallCaps/>
      <w:color w:val="C0504D"/>
      <w:u w:val="single"/>
    </w:rPr>
  </w:style>
  <w:style w:type="character" w:customStyle="1" w:styleId="IntenseQuoteChar">
    <w:name w:val="Intense Quote Char"/>
    <w:rsid w:val="0097734B"/>
    <w:rPr>
      <w:rFonts w:ascii="Minion" w:hAnsi="Minion"/>
      <w:b/>
      <w:bCs/>
      <w:i/>
      <w:iCs/>
      <w:color w:val="4F81BD"/>
    </w:rPr>
  </w:style>
  <w:style w:type="character" w:customStyle="1" w:styleId="QuoteChar">
    <w:name w:val="Quote Char"/>
    <w:rsid w:val="0097734B"/>
    <w:rPr>
      <w:rFonts w:ascii="Minion" w:hAnsi="Minion"/>
      <w:i/>
      <w:iCs/>
      <w:color w:val="000000"/>
    </w:rPr>
  </w:style>
  <w:style w:type="character" w:customStyle="1" w:styleId="BalloonTextChar">
    <w:name w:val="Balloon Text Char"/>
    <w:rsid w:val="0097734B"/>
    <w:rPr>
      <w:rFonts w:ascii="Tahoma" w:hAnsi="Tahoma" w:cs="Tahoma"/>
      <w:sz w:val="16"/>
      <w:szCs w:val="16"/>
    </w:rPr>
  </w:style>
  <w:style w:type="character" w:customStyle="1" w:styleId="Znakinumeracji">
    <w:name w:val="Znaki numeracji"/>
    <w:rsid w:val="0097734B"/>
  </w:style>
  <w:style w:type="paragraph" w:customStyle="1" w:styleId="Nagwek10">
    <w:name w:val="Nagłówek1"/>
    <w:basedOn w:val="Normalny"/>
    <w:next w:val="Tekstpodstawowy"/>
    <w:rsid w:val="0097734B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kstpodstawowy">
    <w:name w:val="Body Text"/>
    <w:basedOn w:val="Normalny"/>
    <w:rsid w:val="0097734B"/>
    <w:pPr>
      <w:spacing w:after="120"/>
    </w:pPr>
  </w:style>
  <w:style w:type="paragraph" w:styleId="Lista">
    <w:name w:val="List"/>
    <w:basedOn w:val="Tekstpodstawowy"/>
    <w:rsid w:val="0097734B"/>
  </w:style>
  <w:style w:type="paragraph" w:customStyle="1" w:styleId="Podpis1">
    <w:name w:val="Podpis1"/>
    <w:basedOn w:val="Normalny"/>
    <w:rsid w:val="0097734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rsid w:val="0097734B"/>
    <w:pPr>
      <w:suppressLineNumbers/>
    </w:pPr>
  </w:style>
  <w:style w:type="paragraph" w:styleId="Bezodstpw">
    <w:name w:val="No Spacing"/>
    <w:qFormat/>
    <w:rsid w:val="0097734B"/>
    <w:pPr>
      <w:suppressAutoHyphens/>
    </w:pPr>
    <w:rPr>
      <w:rFonts w:ascii="Minion" w:eastAsia="PMingLiU" w:hAnsi="Minion" w:cs="Calibri"/>
      <w:sz w:val="22"/>
      <w:szCs w:val="22"/>
      <w:lang w:val="en-US" w:eastAsia="ar-SA"/>
    </w:rPr>
  </w:style>
  <w:style w:type="paragraph" w:styleId="Tytu">
    <w:name w:val="Title"/>
    <w:basedOn w:val="Normalny"/>
    <w:next w:val="Normalny"/>
    <w:qFormat/>
    <w:rsid w:val="0097734B"/>
    <w:pPr>
      <w:spacing w:after="300" w:line="240" w:lineRule="auto"/>
    </w:pPr>
    <w:rPr>
      <w:rFonts w:ascii="Cambria" w:hAnsi="Cambria" w:cs="Times New Roman"/>
      <w:color w:val="17365D"/>
      <w:spacing w:val="5"/>
      <w:kern w:val="1"/>
      <w:sz w:val="52"/>
      <w:szCs w:val="52"/>
    </w:rPr>
  </w:style>
  <w:style w:type="paragraph" w:styleId="Podtytu">
    <w:name w:val="Subtitle"/>
    <w:basedOn w:val="Nagwek10"/>
    <w:next w:val="Tekstpodstawowy"/>
    <w:qFormat/>
    <w:rsid w:val="0097734B"/>
    <w:pPr>
      <w:jc w:val="center"/>
    </w:pPr>
    <w:rPr>
      <w:i/>
      <w:iCs/>
    </w:rPr>
  </w:style>
  <w:style w:type="paragraph" w:styleId="Akapitzlist">
    <w:name w:val="List Paragraph"/>
    <w:basedOn w:val="Normalny"/>
    <w:qFormat/>
    <w:rsid w:val="0097734B"/>
    <w:pPr>
      <w:ind w:left="720"/>
    </w:pPr>
  </w:style>
  <w:style w:type="paragraph" w:styleId="Cytatintensywny">
    <w:name w:val="Intense Quote"/>
    <w:basedOn w:val="Normalny"/>
    <w:next w:val="Normalny"/>
    <w:qFormat/>
    <w:rsid w:val="0097734B"/>
    <w:pPr>
      <w:spacing w:before="200" w:after="280"/>
      <w:ind w:left="936" w:right="936"/>
    </w:pPr>
    <w:rPr>
      <w:b/>
      <w:bCs/>
      <w:i/>
      <w:iCs/>
      <w:color w:val="4F81BD"/>
    </w:rPr>
  </w:style>
  <w:style w:type="paragraph" w:styleId="Cytat">
    <w:name w:val="Quote"/>
    <w:basedOn w:val="Normalny"/>
    <w:next w:val="Normalny"/>
    <w:qFormat/>
    <w:rsid w:val="0097734B"/>
    <w:rPr>
      <w:i/>
      <w:iCs/>
      <w:color w:val="000000"/>
    </w:rPr>
  </w:style>
  <w:style w:type="paragraph" w:styleId="Tekstdymka">
    <w:name w:val="Balloon Text"/>
    <w:basedOn w:val="Normalny"/>
    <w:rsid w:val="009773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Normalny"/>
    <w:rsid w:val="0097734B"/>
    <w:pPr>
      <w:suppressLineNumbers/>
    </w:pPr>
  </w:style>
  <w:style w:type="paragraph" w:customStyle="1" w:styleId="Nagwektabeli">
    <w:name w:val="Nagłówek tabeli"/>
    <w:basedOn w:val="Zawartotabeli"/>
    <w:rsid w:val="0097734B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6630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66305F"/>
    <w:rPr>
      <w:rFonts w:ascii="Minion" w:eastAsia="PMingLiU" w:hAnsi="Minion" w:cs="Calibri"/>
      <w:sz w:val="22"/>
      <w:szCs w:val="22"/>
      <w:lang w:val="en-US" w:eastAsia="ar-SA"/>
    </w:rPr>
  </w:style>
  <w:style w:type="paragraph" w:styleId="Stopka">
    <w:name w:val="footer"/>
    <w:basedOn w:val="Normalny"/>
    <w:link w:val="StopkaZnak"/>
    <w:uiPriority w:val="99"/>
    <w:unhideWhenUsed/>
    <w:rsid w:val="0066305F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66305F"/>
    <w:rPr>
      <w:rFonts w:ascii="Minion" w:eastAsia="PMingLiU" w:hAnsi="Minion" w:cs="Calibri"/>
      <w:sz w:val="22"/>
      <w:szCs w:val="22"/>
      <w:lang w:val="en-US" w:eastAsia="ar-SA"/>
    </w:rPr>
  </w:style>
  <w:style w:type="paragraph" w:customStyle="1" w:styleId="Nagwek2beznumeracji">
    <w:name w:val="Nagłówek 2 (bez numeracji)"/>
    <w:basedOn w:val="Normalny"/>
    <w:next w:val="Tekstpodstawowy"/>
    <w:uiPriority w:val="10"/>
    <w:qFormat/>
    <w:rsid w:val="00F615B7"/>
    <w:pPr>
      <w:keepNext/>
      <w:keepLines/>
      <w:suppressAutoHyphens w:val="0"/>
      <w:spacing w:before="480" w:after="240" w:line="360" w:lineRule="auto"/>
      <w:jc w:val="both"/>
    </w:pPr>
    <w:rPr>
      <w:rFonts w:ascii="Calibri" w:eastAsia="Calibri" w:hAnsi="Calibri" w:cs="Times New Roman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0B5C0940E7F4EB5D7CD3CD9C004ED" ma:contentTypeVersion="0" ma:contentTypeDescription="Create a new document." ma:contentTypeScope="" ma:versionID="3ed15ceaeecc0672e54429a4eadd129d">
  <xsd:schema xmlns:xsd="http://www.w3.org/2001/XMLSchema" xmlns:p="http://schemas.microsoft.com/office/2006/metadata/properties" targetNamespace="http://schemas.microsoft.com/office/2006/metadata/properties" ma:root="true" ma:fieldsID="e1f84af69fa35d0b8840690b3c766d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736CD3C-C5BB-4590-BC3B-E7BB4D7257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672C8-38D5-4921-A9A4-EBE5E2927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CE2B722-2978-4861-BEDA-1A620B34B10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792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2014-02-14T18:08:00Z</cp:lastPrinted>
  <dcterms:created xsi:type="dcterms:W3CDTF">2014-02-14T17:34:00Z</dcterms:created>
  <dcterms:modified xsi:type="dcterms:W3CDTF">2014-07-08T14:33:00Z</dcterms:modified>
</cp:coreProperties>
</file>