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D74" w:rsidRPr="0050778F" w:rsidRDefault="0073540A" w:rsidP="00974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0732896"/>
      <w:r w:rsidRPr="0073540A">
        <w:rPr>
          <w:rFonts w:ascii="Times New Roman" w:hAnsi="Times New Roman" w:cs="Times New Roman"/>
          <w:b/>
          <w:bCs/>
          <w:sz w:val="24"/>
          <w:szCs w:val="24"/>
        </w:rPr>
        <w:t>CÓDIGO CIVIL DEL PARAGUAY LEY N° 1183/85</w:t>
      </w:r>
    </w:p>
    <w:p w:rsidR="00150A2A" w:rsidRPr="0073540A" w:rsidRDefault="00150A2A" w:rsidP="00150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40A">
        <w:rPr>
          <w:rFonts w:ascii="Times New Roman" w:hAnsi="Times New Roman" w:cs="Times New Roman"/>
          <w:b/>
          <w:bCs/>
          <w:sz w:val="24"/>
          <w:szCs w:val="24"/>
        </w:rPr>
        <w:t>CAPITULO IV</w:t>
      </w:r>
    </w:p>
    <w:p w:rsidR="00150A2A" w:rsidRPr="0073540A" w:rsidRDefault="00150A2A" w:rsidP="00150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40A">
        <w:rPr>
          <w:rFonts w:ascii="Times New Roman" w:hAnsi="Times New Roman" w:cs="Times New Roman"/>
          <w:b/>
          <w:bCs/>
          <w:sz w:val="24"/>
          <w:szCs w:val="24"/>
        </w:rPr>
        <w:t>DE LAS FUNDACIONES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Art.124.- La fundación se constituye por la voluntad de una o más personas que destinan a perpetuidad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determinados bienes para la creación de una entidad con fines de bien común.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La manifestación de voluntad debe constar en escritura pública o en testamento.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Art.125.- El instituyente podrá dejar sin efecto el acto de fundación otorgado entre vivos antes de su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aprobación por el Poder Ejecutivo, al que deberá comunicarse esta revocación. El heredero del fundador no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estará autorizado a revocar la fundación, si el instituyente pidió su aprobación.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Art.126.- La fundación puede ser impugnada por los herederos, en cuanto afecte su legítima, o por los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acreedores del fundador.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Art.127.- Aprobada la fundación, debe el instituyente, o sus herederos, transferirle la propiedad y posesión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de los bienes que le fueron asignados.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Cuando la fundación no es aprobada sino después del fallecimiento del instituyente, ella será reputada, en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relación a las disposiciones del fundador, haber existido antes de su muerte.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Art.128.- Si la fundación fuere instituida en disposiciones testamentarias, corresponderá al albacea o a los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herederos pedir la aprobación de ella, y, en su defecto, al Ministerio Público.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Art.129.- El acto de fundación establecerá los órganos de dirección y administración y las normas para su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funcionamiento. Si en dicho acto faltaren estas disposiciones, el Poder Ejecutivo las dictará, teniendo en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cuenta el fin instituido y las intenciones del fundador.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Art.130.- El Poder Ejecutivo podrá autorizar en caso de evidente necesidad la enajenación de bienes de la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fundación.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Art.131.- Si los fines de la fundación se volvieren imposibles, o su cumplimiento afectare el interés público, o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su patrimonio resultare insuficiente, el Poder Ejecutivo podrá dar a la fundación otra finalidad, o decretar su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extinción.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En la transformación de la finalidad, supresión o modificación de cargos o condiciones, debe ser atendida,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en lo posible, la intención del fundador.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El Poder Ejecutivo podrá también alterar la organización de la fundación, siempre que lo exija la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transformación de su finalidad o el mejor cumplimiento de la misma.</w:t>
      </w:r>
    </w:p>
    <w:p w:rsidR="00150A2A" w:rsidRP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En caso de extinción se observará, en cuanto al destino de los bienes de la fundación, lo dispuesto para las</w:t>
      </w:r>
      <w:r w:rsidR="001F656E">
        <w:rPr>
          <w:rFonts w:ascii="Times New Roman" w:hAnsi="Times New Roman" w:cs="Times New Roman"/>
          <w:sz w:val="24"/>
          <w:szCs w:val="24"/>
        </w:rPr>
        <w:t xml:space="preserve"> </w:t>
      </w:r>
      <w:r w:rsidRPr="00150A2A">
        <w:rPr>
          <w:rFonts w:ascii="Times New Roman" w:hAnsi="Times New Roman" w:cs="Times New Roman"/>
          <w:sz w:val="24"/>
          <w:szCs w:val="24"/>
        </w:rPr>
        <w:t>asociaciones reconocidas de utilidad pública.</w:t>
      </w:r>
    </w:p>
    <w:p w:rsidR="00E727C0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 w:rsidRPr="00150A2A">
        <w:rPr>
          <w:rFonts w:ascii="Times New Roman" w:hAnsi="Times New Roman" w:cs="Times New Roman"/>
          <w:sz w:val="24"/>
          <w:szCs w:val="24"/>
        </w:rPr>
        <w:t>La decisión del Poder Ejecutivo será recurrible judicialmente.</w:t>
      </w:r>
    </w:p>
    <w:bookmarkEnd w:id="0"/>
    <w:p w:rsid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A2A" w:rsidRDefault="00150A2A" w:rsidP="00150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Enlace: </w:t>
      </w:r>
      <w:bookmarkStart w:id="1" w:name="_Hlk130733059"/>
      <w:r w:rsidR="0073540A">
        <w:rPr>
          <w:rFonts w:ascii="Times New Roman" w:hAnsi="Times New Roman" w:cs="Times New Roman"/>
          <w:sz w:val="24"/>
          <w:szCs w:val="24"/>
        </w:rPr>
        <w:fldChar w:fldCharType="begin"/>
      </w:r>
      <w:r w:rsidR="0073540A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73540A" w:rsidRPr="00150A2A">
        <w:rPr>
          <w:rFonts w:ascii="Times New Roman" w:hAnsi="Times New Roman" w:cs="Times New Roman"/>
          <w:sz w:val="24"/>
          <w:szCs w:val="24"/>
        </w:rPr>
        <w:instrText>https://www.oas.org/dil/esp/codigo_civil_paraguay.pdf</w:instrText>
      </w:r>
      <w:r w:rsidR="0073540A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73540A">
        <w:rPr>
          <w:rFonts w:ascii="Times New Roman" w:hAnsi="Times New Roman" w:cs="Times New Roman"/>
          <w:sz w:val="24"/>
          <w:szCs w:val="24"/>
        </w:rPr>
        <w:fldChar w:fldCharType="separate"/>
      </w:r>
      <w:r w:rsidR="0073540A" w:rsidRPr="00B40DA5">
        <w:rPr>
          <w:rStyle w:val="Hipervnculo"/>
          <w:rFonts w:ascii="Times New Roman" w:hAnsi="Times New Roman" w:cs="Times New Roman"/>
          <w:sz w:val="24"/>
          <w:szCs w:val="24"/>
        </w:rPr>
        <w:t>https://www.oas.org/dil/esp/codigo_civil_paraguay.pdf</w:t>
      </w:r>
      <w:r w:rsidR="0073540A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:rsidR="0050778F" w:rsidRDefault="0050778F" w:rsidP="00150A2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50778F" w:rsidRDefault="0050778F" w:rsidP="00150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778F" w:rsidRPr="0050778F" w:rsidRDefault="0050778F" w:rsidP="0050778F">
      <w:pPr>
        <w:shd w:val="clear" w:color="auto" w:fill="FFFFFF"/>
        <w:spacing w:before="300" w:after="150" w:line="360" w:lineRule="atLeast"/>
        <w:jc w:val="center"/>
        <w:outlineLvl w:val="0"/>
        <w:rPr>
          <w:rFonts w:ascii="Times New Roman" w:eastAsia="Times New Roman" w:hAnsi="Times New Roman" w:cs="Times New Roman"/>
          <w:color w:val="2B2B2B"/>
          <w:kern w:val="36"/>
          <w:sz w:val="24"/>
          <w:szCs w:val="24"/>
          <w:lang w:eastAsia="es-PY"/>
        </w:rPr>
      </w:pPr>
      <w:bookmarkStart w:id="2" w:name="_Hlk130743918"/>
      <w:r w:rsidRPr="0050778F">
        <w:rPr>
          <w:rFonts w:ascii="Times New Roman" w:eastAsia="Times New Roman" w:hAnsi="Times New Roman" w:cs="Times New Roman"/>
          <w:color w:val="2B2B2B"/>
          <w:kern w:val="36"/>
          <w:sz w:val="24"/>
          <w:szCs w:val="24"/>
          <w:lang w:eastAsia="es-PY"/>
        </w:rPr>
        <w:t>Ley Nº 125 / ESTABLECE EL NUEVO REGIMEN TRIBUTARIO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t>CAPITULO I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t>RENTAS DE ACTIVIDADES COMERCIALES, INDUSTRIALES O DE SERVICIOS</w:t>
      </w:r>
    </w:p>
    <w:p w:rsidR="0073540A" w:rsidRDefault="0073540A" w:rsidP="005077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b/>
          <w:bCs/>
          <w:color w:val="2B2B2B"/>
          <w:sz w:val="24"/>
          <w:szCs w:val="24"/>
        </w:rPr>
        <w:t>Artículo 14.- </w:t>
      </w:r>
      <w:r w:rsidRPr="0050778F">
        <w:rPr>
          <w:rFonts w:ascii="Times New Roman" w:hAnsi="Times New Roman" w:cs="Times New Roman"/>
          <w:color w:val="2B2B2B"/>
          <w:sz w:val="24"/>
          <w:szCs w:val="24"/>
        </w:rPr>
        <w:t>Exoneraciones: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1) Están exentas las siguientes rentas: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a) Los dividendos y las utilidades que se obtengan en el carácter de accionistas o de socios de entidades que realicen actividades comprendidas en este impuesto.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La exoneración no regirá a los efectos de la aplicación de las tasas previstas en los numerales 2) y 3) del Art. 20.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b) Los intereses de títulos de deuda pública emitidos por el Estado o por las Municipalidades.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c) Las exoneradas por la </w:t>
      </w:r>
      <w:hyperlink r:id="rId4" w:tgtFrame="_blank" w:history="1">
        <w:r w:rsidRPr="0050778F">
          <w:rPr>
            <w:rStyle w:val="Hipervnculo"/>
            <w:rFonts w:ascii="Times New Roman" w:hAnsi="Times New Roman" w:cs="Times New Roman"/>
            <w:color w:val="E74C3C"/>
            <w:sz w:val="24"/>
            <w:szCs w:val="24"/>
          </w:rPr>
          <w:t>Ley N° 60</w:t>
        </w:r>
      </w:hyperlink>
      <w:r w:rsidRPr="0050778F">
        <w:rPr>
          <w:rFonts w:ascii="Times New Roman" w:hAnsi="Times New Roman" w:cs="Times New Roman"/>
          <w:color w:val="2B2B2B"/>
          <w:sz w:val="24"/>
          <w:szCs w:val="24"/>
        </w:rPr>
        <w:t> del 26 de marzo de 1991.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d) Los </w:t>
      </w:r>
      <w:proofErr w:type="gram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intereses  sobre</w:t>
      </w:r>
      <w:proofErr w:type="gramEnd"/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 depósitos de ahorro, tales como los depósitos a la </w:t>
      </w:r>
      <w:proofErr w:type="spell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vista,a</w:t>
      </w:r>
      <w:proofErr w:type="spellEnd"/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 plazo fijo, certificados de depósitos o cualquiera sea la modalidad con que se </w:t>
      </w:r>
      <w:proofErr w:type="spell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constituya,en</w:t>
      </w:r>
      <w:proofErr w:type="spellEnd"/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 las entidades legalmente autorizadas para realizar estas operaciones.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e) Los intereses sobre colocaciones contra letras y pagarés en las entidades financieras del país.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>2) Están exonerados: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a) Las entidades </w:t>
      </w:r>
      <w:proofErr w:type="gram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religiosas  reconocidas</w:t>
      </w:r>
      <w:proofErr w:type="gramEnd"/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 por las autoridades competentes, por los ingresos provenientes del ejercicio del culto, servicios religiosos y de las donaciones que se destinen a dichos fines.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b) Las entidades mencionadas en el inciso precedente y las de  asistencia social, caridad, beneficencia, instrucción científica, literaria, artística, gremial, de cultura física y deportiva, así como las asociaciones, federaciones, fundaciones, </w:t>
      </w:r>
      <w:proofErr w:type="spell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corporaciones,partidos</w:t>
      </w:r>
      <w:proofErr w:type="spellEnd"/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 políticos legalmente reconocidos y demás entidades educativas reconocidas por el Ministerio de Educación y Culto, siempre que no persigan fines de lucro y que las utilidades o excedentes no sean distribuidos directa o indirectamente entre sus asociados o integrantes, las que deben tener como único destino los fines para las que fueron creadas.</w:t>
      </w:r>
    </w:p>
    <w:p w:rsidR="0050778F" w:rsidRPr="0050778F" w:rsidRDefault="0050778F" w:rsidP="0050778F">
      <w:pPr>
        <w:shd w:val="clear" w:color="auto" w:fill="FFFFFF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0778F">
        <w:rPr>
          <w:rFonts w:ascii="Times New Roman" w:hAnsi="Times New Roman" w:cs="Times New Roman"/>
          <w:color w:val="2B2B2B"/>
          <w:sz w:val="24"/>
          <w:szCs w:val="24"/>
        </w:rPr>
        <w:t xml:space="preserve">c) Los contribuyentes del Tributo </w:t>
      </w:r>
      <w:proofErr w:type="spellStart"/>
      <w:r w:rsidRPr="0050778F">
        <w:rPr>
          <w:rFonts w:ascii="Times New Roman" w:hAnsi="Times New Roman" w:cs="Times New Roman"/>
          <w:color w:val="2B2B2B"/>
          <w:sz w:val="24"/>
          <w:szCs w:val="24"/>
        </w:rPr>
        <w:t>Unico</w:t>
      </w:r>
      <w:proofErr w:type="spellEnd"/>
      <w:r w:rsidRPr="0050778F">
        <w:rPr>
          <w:rFonts w:ascii="Times New Roman" w:hAnsi="Times New Roman" w:cs="Times New Roman"/>
          <w:color w:val="2B2B2B"/>
          <w:sz w:val="24"/>
          <w:szCs w:val="24"/>
        </w:rPr>
        <w:t>.</w:t>
      </w:r>
    </w:p>
    <w:p w:rsidR="0050778F" w:rsidRDefault="0050778F" w:rsidP="0050778F">
      <w:pPr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50778F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>Artículo 83.</w:t>
      </w:r>
      <w:proofErr w:type="gramStart"/>
      <w:r w:rsidRPr="0050778F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>-  </w:t>
      </w:r>
      <w:r w:rsidRPr="005077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Exoneraciones</w:t>
      </w:r>
      <w:proofErr w:type="gramEnd"/>
      <w:r w:rsidRPr="005077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. Se exoneran: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t>Las siguientes entidades: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lastRenderedPageBreak/>
        <w:t>a) Los partidos políticos, las entidades de asistencia social, caridad, beneficencia, educación, e instrucción científica, literaria, artística, gremial, de cultura física, y deportiva así como las asociaciones, federaciones, fundaciones, corporaciones, y demás entidades con personería jurídica, siempre que no persigan fines de lucro y que las utilidades o excedentes no sean distribuidos directa o indirectamente entre sus asociados o integrantes, las que deben tener como único destino los fines para las que fueron creadas.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t>b) Las entidades religiosas reconocidas por las autoridades competentes, por los actos provenientes exclusivamente del ejercicio del culto y servicio religioso.</w:t>
      </w:r>
    </w:p>
    <w:p w:rsidR="0050778F" w:rsidRPr="0050778F" w:rsidRDefault="0050778F" w:rsidP="00507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</w:pPr>
      <w:r w:rsidRPr="0050778F">
        <w:rPr>
          <w:rFonts w:ascii="Times New Roman" w:eastAsia="Times New Roman" w:hAnsi="Times New Roman" w:cs="Times New Roman"/>
          <w:color w:val="2B2B2B"/>
          <w:sz w:val="24"/>
          <w:szCs w:val="24"/>
          <w:lang w:eastAsia="es-PY"/>
        </w:rPr>
        <w:t>Las exoneraciones previstas en los inc. a) y b) del presente numeral no son de aplicación a la importación de bienes.</w:t>
      </w:r>
    </w:p>
    <w:bookmarkEnd w:id="2"/>
    <w:p w:rsidR="0050778F" w:rsidRPr="001037B4" w:rsidRDefault="0050778F" w:rsidP="0050778F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50778F" w:rsidRPr="0010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2A"/>
    <w:rsid w:val="001037B4"/>
    <w:rsid w:val="00150A2A"/>
    <w:rsid w:val="001F656E"/>
    <w:rsid w:val="0050778F"/>
    <w:rsid w:val="0073540A"/>
    <w:rsid w:val="00874343"/>
    <w:rsid w:val="00974D74"/>
    <w:rsid w:val="00CA702F"/>
    <w:rsid w:val="00CB5F3E"/>
    <w:rsid w:val="00E727C0"/>
    <w:rsid w:val="00E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02A3"/>
  <w15:chartTrackingRefBased/>
  <w15:docId w15:val="{64E75CC1-D60E-40AB-81B6-0B39DE6A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7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4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40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0778F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cn.gov.py/ampliar-leyes-paraguayas.php?id=24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Nuara Matarazzo</dc:creator>
  <cp:keywords/>
  <dc:description/>
  <cp:lastModifiedBy>Nuara Matarazzo</cp:lastModifiedBy>
  <cp:revision>3</cp:revision>
  <dcterms:created xsi:type="dcterms:W3CDTF">2023-03-25T16:35:00Z</dcterms:created>
  <dcterms:modified xsi:type="dcterms:W3CDTF">2023-04-01T17:29:00Z</dcterms:modified>
</cp:coreProperties>
</file>