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4608"/>
      </w:tblGrid>
      <w:tr>
        <w:tc>
          <w:tcPr>
            <w:tcW w:type="dxa" w:w="509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068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06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90"/>
          </w:tcPr>
          <w:p>
            <w:pPr>
              <w:jc w:val="right"/>
            </w:pPr>
            <w:r>
              <w:rPr>
                <w:b/>
                <w:color w:val="103824"/>
                <w:sz w:val="23"/>
              </w:rPr>
              <w:t>IbogaLab</w:t>
              <w:br/>
            </w:r>
            <w:r>
              <w:rPr>
                <w:color w:val="718096"/>
                <w:sz w:val="16"/>
              </w:rPr>
              <w:t>Libreville, Gabon</w:t>
              <w:br/>
              <w:t>contact@ibogalab.tech</w:t>
              <w:br/>
              <w:t>Tél: +241 066195786</w:t>
              <w:br/>
              <w:t>www.ibogalab.tech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90"/>
            <w:shd w:fill="1038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1"/>
              </w:rPr>
              <w:t>DEVIS N° IBGL-2026-D01</w:t>
            </w:r>
          </w:p>
        </w:tc>
        <w:tc>
          <w:tcPr>
            <w:tcW w:type="dxa" w:w="5090"/>
            <w:shd w:fill="1038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color w:val="FFFFFF"/>
                <w:sz w:val="17"/>
              </w:rPr>
              <w:t>Établi le 2026-07-14 - Valide 30 jours</w:t>
            </w:r>
          </w:p>
        </w:tc>
      </w:tr>
    </w:tbl>
    <w:p>
      <w:pPr>
        <w:spacing w:after="3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184"/>
      </w:tblGrid>
      <w:tr>
        <w:tc>
          <w:tcPr>
            <w:tcW w:type="dxa" w:w="509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669D69"/>
              <w:bottom w:val="single" w:sz="4" w:space="0" w:color="669D69"/>
              <w:left w:val="single" w:sz="4" w:space="0" w:color="669D69"/>
              <w:right w:val="single" w:sz="4" w:space="0" w:color="669D69"/>
            </w:tcBorders>
          </w:tcPr>
          <w:p>
            <w:r>
              <w:rPr>
                <w:b/>
                <w:color w:val="669D69"/>
                <w:sz w:val="16"/>
              </w:rPr>
              <w:t>CLIENT</w:t>
              <w:br/>
            </w:r>
            <w:r>
              <w:rPr>
                <w:sz w:val="18"/>
              </w:rPr>
              <w:t>M. Nazaire TOUGOUAVANA MOUKAMBI PANGOU</w:t>
              <w:br/>
              <w:t>GabSource</w:t>
              <w:br/>
              <w:t>Libreville, Gabon</w:t>
            </w:r>
          </w:p>
        </w:tc>
        <w:tc>
          <w:tcPr>
            <w:tcW w:type="dxa" w:w="509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669D69"/>
              <w:bottom w:val="single" w:sz="4" w:space="0" w:color="669D69"/>
              <w:left w:val="single" w:sz="4" w:space="0" w:color="669D69"/>
              <w:right w:val="single" w:sz="4" w:space="0" w:color="669D69"/>
            </w:tcBorders>
          </w:tcPr>
          <w:p>
            <w:r>
              <w:rPr>
                <w:b/>
                <w:color w:val="669D69"/>
                <w:sz w:val="16"/>
              </w:rPr>
              <w:t>PROJET</w:t>
              <w:br/>
            </w:r>
            <w:r>
              <w:rPr>
                <w:sz w:val="18"/>
              </w:rPr>
              <w:t>MVP Marketplace B2B (Option 1)</w:t>
              <w:br/>
              <w:t>Architecture Supabase / Indie Hacker</w:t>
              <w:br/>
              <w:t>Délai estimé : 16 semaines</w:t>
            </w:r>
          </w:p>
        </w:tc>
      </w:tr>
    </w:tbl>
    <w:p>
      <w:pPr>
        <w:spacing w:after="3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1152"/>
        <w:gridCol w:w="720"/>
        <w:gridCol w:w="1584"/>
        <w:gridCol w:w="1872"/>
      </w:tblGrid>
      <w:tr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Désignation &amp; Détails</w:t>
            </w:r>
          </w:p>
        </w:tc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Unité</w:t>
            </w:r>
          </w:p>
        </w:tc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Qté</w:t>
            </w:r>
          </w:p>
        </w:tc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P.U. HT</w:t>
            </w:r>
          </w:p>
        </w:tc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Montant HT</w:t>
            </w:r>
          </w:p>
        </w:tc>
      </w:tr>
      <w:tr>
        <w:tc>
          <w:tcPr>
            <w:tcW w:type="dxa" w:w="47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spacing w:before="0" w:after="40"/>
            </w:pPr>
            <w:r>
              <w:rPr>
                <w:b/>
                <w:color w:val="103824"/>
                <w:sz w:val="19"/>
              </w:rPr>
              <w:t>Architecture &amp; Design UI/UX</w:t>
            </w:r>
          </w:p>
          <w:p>
            <w:pPr>
              <w:spacing w:before="0" w:after="0"/>
            </w:pPr>
            <w:r>
              <w:rPr>
                <w:color w:val="718096"/>
                <w:sz w:val="17"/>
              </w:rPr>
              <w:t>Maquettes Figma, parcours utilisateurs, schéma de données.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forfait</w:t>
            </w:r>
          </w:p>
        </w:tc>
        <w:tc>
          <w:tcPr>
            <w:tcW w:type="dxa" w:w="72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650 000 FCFA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650 000 FCFA</w:t>
            </w:r>
          </w:p>
        </w:tc>
      </w:tr>
      <w:tr>
        <w:tc>
          <w:tcPr>
            <w:tcW w:type="dxa" w:w="47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spacing w:before="0" w:after="40"/>
            </w:pPr>
            <w:r>
              <w:rPr>
                <w:b/>
                <w:color w:val="103824"/>
                <w:sz w:val="19"/>
              </w:rPr>
              <w:t>Développement Frontend</w:t>
            </w:r>
          </w:p>
          <w:p>
            <w:pPr>
              <w:spacing w:before="0" w:after="0"/>
            </w:pPr>
            <w:r>
              <w:rPr>
                <w:color w:val="718096"/>
                <w:sz w:val="17"/>
              </w:rPr>
              <w:t>Landing page, tableaux de bord (Entreprise/Admin), formulaires d'onboarding (React/Tailwind).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forfait</w:t>
            </w:r>
          </w:p>
        </w:tc>
        <w:tc>
          <w:tcPr>
            <w:tcW w:type="dxa" w:w="72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1 800 000 FCFA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1 800 000 FCFA</w:t>
            </w:r>
          </w:p>
        </w:tc>
      </w:tr>
      <w:tr>
        <w:tc>
          <w:tcPr>
            <w:tcW w:type="dxa" w:w="47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spacing w:before="0" w:after="40"/>
            </w:pPr>
            <w:r>
              <w:rPr>
                <w:b/>
                <w:color w:val="103824"/>
                <w:sz w:val="19"/>
              </w:rPr>
              <w:t>Développement Backend (Supabase)</w:t>
            </w:r>
          </w:p>
          <w:p>
            <w:pPr>
              <w:spacing w:before="0" w:after="0"/>
            </w:pPr>
            <w:r>
              <w:rPr>
                <w:color w:val="718096"/>
                <w:sz w:val="17"/>
              </w:rPr>
              <w:t>Authentification, rôles utilisateurs, gestion base de données, stockage sécurisé.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forfait</w:t>
            </w:r>
          </w:p>
        </w:tc>
        <w:tc>
          <w:tcPr>
            <w:tcW w:type="dxa" w:w="72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1 200 000 FCFA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1 200 000 FCFA</w:t>
            </w:r>
          </w:p>
        </w:tc>
      </w:tr>
      <w:tr>
        <w:tc>
          <w:tcPr>
            <w:tcW w:type="dxa" w:w="47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spacing w:before="0" w:after="40"/>
            </w:pPr>
            <w:r>
              <w:rPr>
                <w:b/>
                <w:color w:val="103824"/>
                <w:sz w:val="19"/>
              </w:rPr>
              <w:t>Intégrations &amp; Matching</w:t>
            </w:r>
          </w:p>
          <w:p>
            <w:pPr>
              <w:spacing w:before="0" w:after="0"/>
            </w:pPr>
            <w:r>
              <w:rPr>
                <w:color w:val="718096"/>
                <w:sz w:val="17"/>
              </w:rPr>
              <w:t>Algorithme de matching, paiements (Stripe + Mobile Money), emails transactionnels.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forfait</w:t>
            </w:r>
          </w:p>
        </w:tc>
        <w:tc>
          <w:tcPr>
            <w:tcW w:type="dxa" w:w="72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1 000 000 FCFA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1 000 000 FCFA</w:t>
            </w:r>
          </w:p>
        </w:tc>
      </w:tr>
      <w:tr>
        <w:tc>
          <w:tcPr>
            <w:tcW w:type="dxa" w:w="47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spacing w:before="0" w:after="40"/>
            </w:pPr>
            <w:r>
              <w:rPr>
                <w:b/>
                <w:color w:val="103824"/>
                <w:sz w:val="19"/>
              </w:rPr>
              <w:t>Tests &amp; Déploiement</w:t>
            </w:r>
          </w:p>
          <w:p>
            <w:pPr>
              <w:spacing w:before="0" w:after="0"/>
            </w:pPr>
            <w:r>
              <w:rPr>
                <w:color w:val="718096"/>
                <w:sz w:val="17"/>
              </w:rPr>
              <w:t>Tests unitaires, assurance qualité (QA) et mise en production.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forfait</w:t>
            </w:r>
          </w:p>
        </w:tc>
        <w:tc>
          <w:tcPr>
            <w:tcW w:type="dxa" w:w="72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800 000 FCFA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800 000 FCFA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2880"/>
      </w:tblGrid>
      <w:tr>
        <w:tc>
          <w:tcPr>
            <w:tcW w:type="dxa" w:w="72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color w:val="718096"/>
                <w:sz w:val="17"/>
              </w:rPr>
              <w:t>Estimation mensuelle post-lancement : Infrastructure Cloud (Supabase/Vercel)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61 000 FCFA / mois</w:t>
            </w:r>
          </w:p>
        </w:tc>
      </w:tr>
      <w:tr>
        <w:tc>
          <w:tcPr>
            <w:tcW w:type="dxa" w:w="72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r>
              <w:rPr>
                <w:color w:val="718096"/>
                <w:sz w:val="17"/>
              </w:rPr>
              <w:t>Estimation mensuelle post-lancement : Maintenance &amp; Support technique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250 000 FCFA / mois</w:t>
            </w:r>
          </w:p>
        </w:tc>
      </w:tr>
    </w:tbl>
    <w:p>
      <w:pPr>
        <w:spacing w:after="3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168"/>
        <w:gridCol w:w="2160"/>
      </w:tblGrid>
      <w:tr>
        <w:tc>
          <w:tcPr>
            <w:tcW w:type="dxa" w:w="3168"/>
            <w:tcBorders>
              <w:bottom w:val="single" w:sz="4" w:space="0" w:color="E2E8F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Total Développement HT</w:t>
            </w:r>
          </w:p>
        </w:tc>
        <w:tc>
          <w:tcPr>
            <w:tcW w:type="dxa" w:w="2160"/>
            <w:tcBorders>
              <w:bottom w:val="single" w:sz="4" w:space="0" w:color="E2E8F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9"/>
              </w:rPr>
              <w:t>5 450 000 FCFA</w:t>
            </w:r>
          </w:p>
        </w:tc>
      </w:tr>
      <w:tr>
        <w:tc>
          <w:tcPr>
            <w:tcW w:type="dxa" w:w="3168"/>
            <w:shd w:fill="103824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  <w:tc>
          <w:tcPr>
            <w:tcW w:type="dxa" w:w="2160"/>
            <w:shd w:fill="103824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03824"/>
                <w:sz w:val="24"/>
              </w:rPr>
              <w:t>Total Général TTC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03824"/>
                <w:sz w:val="24"/>
              </w:rPr>
              <w:t>5 450 000</w:t>
              <w:br/>
              <w:t>FCFA</w:t>
            </w:r>
          </w:p>
        </w:tc>
      </w:tr>
    </w:tbl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181"/>
            <w:shd w:fill="FAFAFA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120"/>
            </w:pPr>
            <w:r>
              <w:rPr>
                <w:b/>
                <w:color w:val="2D3748"/>
                <w:sz w:val="18"/>
              </w:rPr>
              <w:t>Conditions de paiement &amp; Modalités :</w:t>
            </w:r>
          </w:p>
          <w:p>
            <w:pPr>
              <w:spacing w:after="60"/>
              <w:ind w:left="216"/>
            </w:pPr>
            <w:r>
              <w:rPr>
                <w:color w:val="2D3748"/>
                <w:sz w:val="17"/>
              </w:rPr>
              <w:t>• Acompte de 40% au lancement du projet.</w:t>
            </w:r>
          </w:p>
          <w:p>
            <w:pPr>
              <w:spacing w:after="60"/>
              <w:ind w:left="216"/>
            </w:pPr>
            <w:r>
              <w:rPr>
                <w:color w:val="2D3748"/>
                <w:sz w:val="17"/>
              </w:rPr>
              <w:t>• Paiements intermédiaires selon planning de livraison.</w:t>
            </w:r>
          </w:p>
          <w:p>
            <w:pPr>
              <w:spacing w:after="60"/>
              <w:ind w:left="216"/>
            </w:pPr>
            <w:r>
              <w:rPr>
                <w:color w:val="2D3748"/>
                <w:sz w:val="17"/>
              </w:rPr>
              <w:t>• Solde de 20% à la mise en production.</w:t>
            </w:r>
          </w:p>
        </w:tc>
      </w:tr>
    </w:tbl>
    <w:p>
      <w:pPr>
        <w:spacing w:after="5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c>
          <w:tcPr>
            <w:tcW w:type="dxa" w:w="5090"/>
            <w:tcBorders>
              <w:top w:val="single" w:sz="4" w:space="0" w:color="E2E8F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600" w:after="40"/>
              <w:jc w:val="center"/>
            </w:pPr>
            <w:r>
              <w:rPr>
                <w:sz w:val="17"/>
              </w:rPr>
              <w:t>Bon pour accord</w:t>
              <w:br/>
            </w:r>
            <w:r>
              <w:rPr>
                <w:sz w:val="17"/>
              </w:rPr>
              <w:t>Signature du Client (précédée de la date)</w:t>
            </w:r>
          </w:p>
        </w:tc>
        <w:tc>
          <w:tcPr>
            <w:tcW w:type="dxa" w:w="5090"/>
            <w:tcBorders>
              <w:top w:val="single" w:sz="4" w:space="0" w:color="E2E8F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600" w:after="40"/>
              <w:jc w:val="center"/>
            </w:pPr>
            <w:r>
              <w:rPr>
                <w:sz w:val="17"/>
              </w:rPr>
              <w:t>Cachet et Signature de l'Agence</w:t>
            </w:r>
          </w:p>
        </w:tc>
      </w:tr>
    </w:tbl>
    <w:p>
      <w:pPr>
        <w:spacing w:before="600"/>
        <w:jc w:val="center"/>
      </w:pPr>
      <w:r>
        <w:rPr>
          <w:color w:val="718096"/>
          <w:sz w:val="15"/>
        </w:rPr>
        <w:t>IbogaLab SARL - Capital Social de 1 000 000 FCFA - Libreville, Gabon - www.ibogalab.tech - Tél: +241 066195786</w:t>
      </w:r>
    </w:p>
    <w:sectPr w:rsidR="00FC693F" w:rsidRPr="0006063C" w:rsidSect="00034616">
      <w:pgSz w:w="11909" w:h="16834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