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1F497D"/>
          <w:sz w:val="44"/>
        </w:rPr>
        <w:t>CLV Prediction — Technical Development Log</w:t>
      </w:r>
    </w:p>
    <w:p>
      <w:pPr>
        <w:spacing w:after="400"/>
        <w:jc w:val="center"/>
      </w:pPr>
      <w:r>
        <w:rPr>
          <w:rFonts w:ascii="Arial" w:hAnsi="Arial"/>
          <w:color w:val="707070"/>
          <w:sz w:val="26"/>
        </w:rPr>
        <w:t>Advanced Analytics Assignment 1  |  Group: Lowie</w:t>
      </w:r>
    </w:p>
    <w:p/>
    <w:p>
      <w:pPr>
        <w:pStyle w:val="Heading1"/>
        <w:spacing w:before="280" w:after="80"/>
      </w:pPr>
      <w:r>
        <w:t>1. Project Overview</w:t>
      </w:r>
    </w:p>
    <w:p>
      <w:pPr>
        <w:spacing w:after="120"/>
      </w:pPr>
      <w:r>
        <w:rPr>
          <w:rFonts w:ascii="Arial" w:hAnsi="Arial"/>
          <w:sz w:val="21"/>
        </w:rPr>
        <w:t>Goal: Predict 2018–2019 revenue (Customer Lifetime Value) for customers of a European fashion shoe shop, using only their 2016–2017 transaction history.</w:t>
      </w:r>
    </w:p>
    <w:p>
      <w:pPr>
        <w:spacing w:after="60"/>
      </w:pPr>
      <w:r>
        <w:rPr>
          <w:rFonts w:ascii="Arial" w:hAnsi="Arial"/>
          <w:sz w:val="21"/>
        </w:rPr>
        <w:t>Competition metrics:</w:t>
      </w:r>
    </w:p>
    <w:p>
      <w:pPr>
        <w:pStyle w:val="ListBullet"/>
        <w:spacing w:after="60"/>
      </w:pPr>
      <w:r>
        <w:rPr>
          <w:rFonts w:ascii="Arial" w:hAnsi="Arial"/>
          <w:sz w:val="21"/>
        </w:rPr>
        <w:t>Primary: Mean Absolute Error (MAE) — lower is better</w:t>
      </w:r>
    </w:p>
    <w:p>
      <w:pPr>
        <w:pStyle w:val="ListBullet"/>
        <w:spacing w:after="60"/>
      </w:pPr>
      <w:r>
        <w:rPr>
          <w:rFonts w:ascii="Arial" w:hAnsi="Arial"/>
          <w:sz w:val="21"/>
        </w:rPr>
        <w:t>Secondary: Spearman rank correlation — higher is better</w:t>
      </w:r>
    </w:p>
    <w:p>
      <w:pPr>
        <w:pStyle w:val="ListBullet"/>
        <w:spacing w:after="60"/>
      </w:pPr>
      <w:r>
        <w:rPr>
          <w:rFonts w:ascii="Arial" w:hAnsi="Arial"/>
          <w:sz w:val="21"/>
        </w:rPr>
        <w:t>Professor benchmark: MAE 61.146 / Spearman 0.41</w:t>
      </w:r>
    </w:p>
    <w:p>
      <w:pPr>
        <w:spacing w:after="60"/>
      </w:pPr>
      <w:r>
        <w:rPr>
          <w:rFonts w:ascii="Arial" w:hAnsi="Arial"/>
          <w:sz w:val="21"/>
        </w:rPr>
        <w:t>Data:</w:t>
      </w:r>
    </w:p>
    <w:p>
      <w:pPr>
        <w:pStyle w:val="ListBullet"/>
        <w:spacing w:after="60"/>
      </w:pPr>
      <w:r>
        <w:rPr>
          <w:rFonts w:ascii="Arial" w:hAnsi="Arial"/>
          <w:sz w:val="21"/>
        </w:rPr>
        <w:t>Training set: ~116,000 customers with known 2018–2019 revenue labels</w:t>
      </w:r>
    </w:p>
    <w:p>
      <w:pPr>
        <w:pStyle w:val="ListBullet"/>
        <w:spacing w:after="60"/>
      </w:pPr>
      <w:r>
        <w:rPr>
          <w:rFonts w:ascii="Arial" w:hAnsi="Arial"/>
          <w:sz w:val="21"/>
        </w:rPr>
        <w:t>Test set: ~29,000 customers (no labels)</w:t>
      </w:r>
    </w:p>
    <w:p>
      <w:pPr>
        <w:pStyle w:val="ListBullet"/>
        <w:spacing w:after="60"/>
      </w:pPr>
      <w:r>
        <w:rPr>
          <w:rFonts w:ascii="Arial" w:hAnsi="Arial"/>
          <w:sz w:val="21"/>
        </w:rPr>
        <w:t>Transaction data: ~1.2 M rows covering 2016–2017</w:t>
      </w:r>
    </w:p>
    <w:p>
      <w:pPr>
        <w:pStyle w:val="ListBullet"/>
        <w:spacing w:after="60"/>
      </w:pPr>
      <w:r>
        <w:rPr>
          <w:rFonts w:ascii="Arial" w:hAnsi="Arial"/>
          <w:sz w:val="21"/>
        </w:rPr>
        <w:t>Key challenge: 63.4% of customers churned (revenue = 0 in 2018–2019), making this a highly zero-inflated regression problem</w:t>
      </w:r>
    </w:p>
    <w:p>
      <w:pPr>
        <w:pStyle w:val="Heading1"/>
        <w:spacing w:before="280" w:after="80"/>
      </w:pPr>
      <w:r>
        <w:t>2. Approach Evolution</w:t>
      </w:r>
    </w:p>
    <w:p>
      <w:pPr>
        <w:pStyle w:val="Heading2"/>
        <w:spacing w:before="280" w:after="80"/>
      </w:pPr>
      <w:r>
        <w:t>2.1  Initial Two-Stage Pipeline</w:t>
      </w:r>
    </w:p>
    <w:p>
      <w:pPr>
        <w:spacing w:after="120"/>
      </w:pPr>
      <w:r>
        <w:rPr>
          <w:rFonts w:ascii="Arial" w:hAnsi="Arial"/>
          <w:sz w:val="21"/>
        </w:rPr>
        <w:t>Architecture: Binary churn classifier → revenue regressor.</w:t>
      </w:r>
    </w:p>
    <w:p>
      <w:pPr>
        <w:spacing w:after="60"/>
      </w:pPr>
      <w:r>
        <w:rPr>
          <w:rFonts w:ascii="Arial" w:hAnsi="Arial"/>
          <w:b/>
          <w:sz w:val="21"/>
        </w:rPr>
        <w:t>Stage 1 — Churn classifier:</w:t>
      </w:r>
      <w:r>
        <w:rPr>
          <w:rFonts w:ascii="Arial" w:hAnsi="Arial"/>
        </w:rPr>
        <w:t xml:space="preserve"> Stage 1 — Churn classifier:</w:t>
      </w:r>
    </w:p>
    <w:p>
      <w:pPr>
        <w:spacing w:after="120"/>
      </w:pPr>
      <w:r>
        <w:rPr>
          <w:rFonts w:ascii="Arial" w:hAnsi="Arial"/>
          <w:sz w:val="21"/>
        </w:rPr>
        <w:t>Three gradient boosting models (LightGBM, XGBoost, CatBoost) trained to predict whether a customer would return (revenue &gt; 0). Ensemble averaged probabilities.</w:t>
      </w:r>
    </w:p>
    <w:p>
      <w:pPr>
        <w:spacing w:after="60"/>
      </w:pPr>
      <w:r>
        <w:rPr>
          <w:rFonts w:ascii="Arial" w:hAnsi="Arial"/>
          <w:b/>
          <w:sz w:val="21"/>
        </w:rPr>
        <w:t>Stage 2 — Revenue regressor:</w:t>
      </w:r>
      <w:r>
        <w:rPr>
          <w:rFonts w:ascii="Arial" w:hAnsi="Arial"/>
        </w:rPr>
        <w:t xml:space="preserve"> Stage 2 — Revenue regressor:</w:t>
      </w:r>
    </w:p>
    <w:p>
      <w:pPr>
        <w:spacing w:after="120"/>
      </w:pPr>
      <w:r>
        <w:rPr>
          <w:rFonts w:ascii="Arial" w:hAnsi="Arial"/>
          <w:sz w:val="21"/>
        </w:rPr>
        <w:t>Trained on returning customers only. Predicted log1p(revenue) with MAE objective.</w:t>
      </w:r>
    </w:p>
    <w:p>
      <w:pPr>
        <w:spacing w:after="120"/>
      </w:pPr>
      <w:r>
        <w:rPr>
          <w:rFonts w:ascii="Arial" w:hAnsi="Arial"/>
          <w:sz w:val="21"/>
        </w:rPr>
        <w:t>Prediction: If P(return) &gt; threshold → predict revenue × P(return), else predict 0. Threshold grid-searched over [0.10, 0.90].</w:t>
      </w:r>
    </w:p>
    <w:p>
      <w:pPr>
        <w:spacing w:after="120"/>
      </w:pPr>
      <w:r>
        <w:rPr>
          <w:rFonts w:ascii="Arial" w:hAnsi="Arial"/>
          <w:b/>
          <w:sz w:val="21"/>
        </w:rPr>
        <w:t>Results:</w:t>
      </w:r>
      <w:r>
        <w:rPr>
          <w:rFonts w:ascii="Arial" w:hAnsi="Arial"/>
        </w:rPr>
        <w:t xml:space="preserve"> Results: MAE 62.65 / Spearman 0.3964</w:t>
      </w:r>
    </w:p>
    <w:p>
      <w:pPr>
        <w:spacing w:after="60"/>
      </w:pPr>
      <w:r>
        <w:rPr>
          <w:rFonts w:ascii="Arial" w:hAnsi="Arial"/>
          <w:sz w:val="21"/>
        </w:rPr>
        <w:t>Problems identified:</w:t>
      </w:r>
    </w:p>
    <w:p>
      <w:pPr>
        <w:pStyle w:val="ListBullet"/>
        <w:spacing w:after="60"/>
      </w:pPr>
      <w:r>
        <w:rPr>
          <w:rFonts w:ascii="Arial" w:hAnsi="Arial"/>
          <w:sz w:val="21"/>
        </w:rPr>
        <w:t>Churn classifier AUC 0.72 — churner/returner distributions overlap heavily in RFM feature space.</w:t>
      </w:r>
    </w:p>
    <w:p>
      <w:pPr>
        <w:pStyle w:val="ListBullet"/>
        <w:spacing w:after="60"/>
      </w:pPr>
      <w:r>
        <w:rPr>
          <w:rFonts w:ascii="Arial" w:hAnsi="Arial"/>
          <w:sz w:val="21"/>
        </w:rPr>
        <w:t>Hard threshold creates 'arms' in the scatter plot: horizontal arm (true returners predicted as churned) and vertical arm (true churners predicted as returning). Both inflate MAE directly.</w:t>
      </w:r>
    </w:p>
    <w:p>
      <w:pPr>
        <w:pStyle w:val="ListBullet"/>
        <w:spacing w:after="60"/>
      </w:pPr>
      <w:r>
        <w:rPr>
          <w:rFonts w:ascii="Arial" w:hAnsi="Arial"/>
          <w:sz w:val="21"/>
        </w:rPr>
        <w:t>No feature set can fully resolve this ambiguity — churn in fashion retail is inherently probabilistic.</w:t>
      </w:r>
    </w:p>
    <w:p>
      <w:pPr>
        <w:pStyle w:val="Heading2"/>
        <w:spacing w:before="280" w:after="80"/>
      </w:pPr>
      <w:r>
        <w:t>2.2  Probability Calibration</w:t>
      </w:r>
    </w:p>
    <w:p>
      <w:pPr>
        <w:spacing w:after="120"/>
      </w:pPr>
      <w:r>
        <w:rPr>
          <w:rFonts w:ascii="Arial" w:hAnsi="Arial"/>
          <w:sz w:val="21"/>
        </w:rPr>
        <w:t>Change: Replaced deprecated CalibratedClassifierCV(cv='prefit') with IsotonicRegression fitted on a 20% calibration split (three-way split: 60% train / 20% calibration / 20% validation).</w:t>
      </w:r>
    </w:p>
    <w:p>
      <w:pPr>
        <w:spacing w:after="120"/>
      </w:pPr>
      <w:r>
        <w:rPr>
          <w:rFonts w:ascii="Arial" w:hAnsi="Arial"/>
          <w:sz w:val="21"/>
        </w:rPr>
        <w:t>Why it matters: Raw classifier probabilities are overconfident. Isotonic regression maps them to calibrated posteriors without changing AUC (calibration is a monotonic transformation).</w:t>
      </w:r>
    </w:p>
    <w:p>
      <w:pPr>
        <w:spacing w:after="120"/>
      </w:pPr>
      <w:r>
        <w:rPr>
          <w:rFonts w:ascii="Arial" w:hAnsi="Arial"/>
          <w:b/>
          <w:sz w:val="21"/>
        </w:rPr>
        <w:t>Results:</w:t>
      </w:r>
      <w:r>
        <w:rPr>
          <w:rFonts w:ascii="Arial" w:hAnsi="Arial"/>
        </w:rPr>
        <w:t xml:space="preserve"> Results: Log loss improved 0.6013 → 0.5758. AUC unchanged at 0.72. MAE 62.50 / Spearman 0.4002. Small improvement; arm problem remained.</w:t>
      </w:r>
    </w:p>
    <w:p>
      <w:pPr>
        <w:pStyle w:val="Heading2"/>
        <w:spacing w:before="280" w:after="80"/>
      </w:pPr>
      <w:r>
        <w:t>2.3  Tweedie Regression  (Discarded)</w:t>
      </w:r>
    </w:p>
    <w:p>
      <w:pPr>
        <w:spacing w:after="120"/>
      </w:pPr>
      <w:r>
        <w:rPr>
          <w:rFonts w:ascii="Arial" w:hAnsi="Arial"/>
          <w:sz w:val="21"/>
        </w:rPr>
        <w:t>Idea: Replace the two-stage architecture with a single Tweedie distribution model, which naturally handles zero-inflated positive data.</w:t>
      </w:r>
    </w:p>
    <w:p>
      <w:pPr>
        <w:spacing w:after="120"/>
      </w:pPr>
      <w:r>
        <w:rPr>
          <w:rFonts w:ascii="Arial" w:hAnsi="Arial"/>
          <w:sz w:val="21"/>
        </w:rPr>
        <w:t>Why it failed: Tweedie regression never predicts exactly 0. The 63.4% of churned customers all receive small positive predictions, systematically inflating MAE.</w:t>
      </w:r>
    </w:p>
    <w:p>
      <w:pPr>
        <w:spacing w:after="120"/>
      </w:pPr>
      <w:r>
        <w:rPr>
          <w:rFonts w:ascii="Arial" w:hAnsi="Arial"/>
          <w:b/>
          <w:sz w:val="21"/>
        </w:rPr>
        <w:t>Results:</w:t>
      </w:r>
      <w:r>
        <w:rPr>
          <w:rFonts w:ascii="Arial" w:hAnsi="Arial"/>
        </w:rPr>
        <w:t xml:space="preserve"> Results: MAE 69.88 — significantly worse. Discarded entirely.</w:t>
      </w:r>
    </w:p>
    <w:p>
      <w:pPr>
        <w:pStyle w:val="Heading2"/>
        <w:spacing w:before="280" w:after="80"/>
      </w:pPr>
      <w:r>
        <w:t>2.4  Feature Engineering</w:t>
      </w:r>
    </w:p>
    <w:p>
      <w:pPr>
        <w:spacing w:after="120"/>
      </w:pPr>
      <w:r>
        <w:rPr>
          <w:rFonts w:ascii="Arial" w:hAnsi="Arial"/>
          <w:sz w:val="21"/>
        </w:rPr>
        <w:t>Original: Basic RFM aggregates (frequency, recency, monetary value, return rates). The following were added iteratively:</w:t>
      </w:r>
    </w:p>
    <w:p>
      <w:pPr>
        <w:pStyle w:val="ListBullet"/>
        <w:spacing w:after="60"/>
      </w:pPr>
      <w:r>
        <w:rPr>
          <w:rFonts w:ascii="Arial" w:hAnsi="Arial"/>
          <w:b/>
          <w:sz w:val="21"/>
        </w:rPr>
        <w:t>Quarterly breakdown (18 features):</w:t>
      </w:r>
      <w:r>
        <w:rPr>
          <w:rFonts w:ascii="Arial" w:hAnsi="Arial"/>
        </w:rPr>
        <w:t xml:space="preserve"> Quarterly breakdown (18 features): 6 quarters (2016Q1–2017Q2) × 3 metrics (revenue, orders, returns). Lets the model weight recent quarters more heavily — a customer active in 2017Q2 is a stronger retention signal than one active only in 2016Q1.</w:t>
      </w:r>
    </w:p>
    <w:p>
      <w:pPr>
        <w:pStyle w:val="ListBullet"/>
        <w:spacing w:after="60"/>
      </w:pPr>
      <w:r>
        <w:rPr>
          <w:rFonts w:ascii="Arial" w:hAnsi="Arial"/>
          <w:b/>
          <w:sz w:val="21"/>
        </w:rPr>
        <w:t>Recency normalisation:</w:t>
      </w:r>
      <w:r>
        <w:rPr>
          <w:rFonts w:ascii="Arial" w:hAnsi="Arial"/>
        </w:rPr>
        <w:t xml:space="preserve"> Recency normalisation: recency_normalized = recency_days / (avg_days_between_orders + 1), clipped at 99th percentile. A 60-day gap means different things for a weekly vs annual shopper.</w:t>
      </w:r>
    </w:p>
    <w:p>
      <w:pPr>
        <w:pStyle w:val="ListBullet"/>
        <w:spacing w:after="60"/>
      </w:pPr>
      <w:r>
        <w:rPr>
          <w:rFonts w:ascii="Arial" w:hAnsi="Arial"/>
          <w:b/>
          <w:sz w:val="21"/>
        </w:rPr>
        <w:t>Target encoding:</w:t>
      </w:r>
      <w:r>
        <w:rPr>
          <w:rFonts w:ascii="Arial" w:hAnsi="Arial"/>
        </w:rPr>
        <w:t xml:space="preserve"> Target encoding: brand_target_enc and category_target_enc via 5-fold CV with Laplace smoothing (MIN_SAMPLES=5) to prevent label leakage.</w:t>
      </w:r>
    </w:p>
    <w:p>
      <w:pPr>
        <w:pStyle w:val="ListBullet"/>
        <w:spacing w:after="60"/>
      </w:pPr>
      <w:r>
        <w:rPr>
          <w:rFonts w:ascii="Arial" w:hAnsi="Arial"/>
          <w:b/>
          <w:sz w:val="21"/>
        </w:rPr>
        <w:t>Return rates:</w:t>
      </w:r>
      <w:r>
        <w:rPr>
          <w:rFonts w:ascii="Arial" w:hAnsi="Arial"/>
        </w:rPr>
        <w:t xml:space="preserve"> Return rates: brand_return_rate and category_return_rate from transaction data.</w:t>
      </w:r>
    </w:p>
    <w:p>
      <w:pPr>
        <w:spacing w:after="120"/>
      </w:pPr>
      <w:r>
        <w:rPr>
          <w:rFonts w:ascii="Arial" w:hAnsi="Arial"/>
          <w:sz w:val="21"/>
        </w:rPr>
        <w:t>Total features after engineering: 74. Impact was marginal on final MAE — the bottleneck was churn identification, not revenue prediction for identified returners.</w:t>
      </w:r>
    </w:p>
    <w:p>
      <w:pPr>
        <w:pStyle w:val="Heading2"/>
        <w:spacing w:before="280" w:after="80"/>
      </w:pPr>
      <w:r>
        <w:t>2.5  BG/NBD Model</w:t>
      </w:r>
    </w:p>
    <w:p>
      <w:pPr>
        <w:spacing w:after="120"/>
      </w:pPr>
      <w:r>
        <w:rPr>
          <w:rFonts w:ascii="Arial" w:hAnsi="Arial"/>
          <w:sz w:val="21"/>
        </w:rPr>
        <w:t>Model: Beta-Geometric / Negative Binomial Distribution (Fader, Hardie &amp; Lee, 2005) — the academic standard for CLV in non-contractual settings.</w:t>
      </w:r>
    </w:p>
    <w:p>
      <w:pPr>
        <w:spacing w:after="60"/>
      </w:pPr>
      <w:r>
        <w:rPr>
          <w:rFonts w:ascii="Arial" w:hAnsi="Arial"/>
          <w:sz w:val="21"/>
        </w:rPr>
        <w:t>Two components:</w:t>
      </w:r>
    </w:p>
    <w:p>
      <w:pPr>
        <w:pStyle w:val="ListBullet"/>
        <w:spacing w:after="60"/>
      </w:pPr>
      <w:r>
        <w:rPr>
          <w:rFonts w:ascii="Arial" w:hAnsi="Arial"/>
          <w:b/>
          <w:sz w:val="21"/>
        </w:rPr>
        <w:t>BG/NBD:</w:t>
      </w:r>
      <w:r>
        <w:rPr>
          <w:rFonts w:ascii="Arial" w:hAnsi="Arial"/>
        </w:rPr>
        <w:t xml:space="preserve"> BG/NBD: Models purchase frequency (Poisson) and permanent dropout (geometric). Outputs p_alive — the posterior probability a customer has NOT permanently dropped out.</w:t>
      </w:r>
    </w:p>
    <w:p>
      <w:pPr>
        <w:pStyle w:val="ListBullet"/>
        <w:spacing w:after="60"/>
      </w:pPr>
      <w:r>
        <w:rPr>
          <w:rFonts w:ascii="Arial" w:hAnsi="Arial"/>
          <w:b/>
          <w:sz w:val="21"/>
        </w:rPr>
        <w:t>Gamma-Gamma:</w:t>
      </w:r>
      <w:r>
        <w:rPr>
          <w:rFonts w:ascii="Arial" w:hAnsi="Arial"/>
        </w:rPr>
        <w:t xml:space="preserve"> Gamma-Gamma: Models expected revenue per transaction conditional on activity. Fitted only on customers with ≥ 1 repeat purchase.</w:t>
      </w:r>
    </w:p>
    <w:p>
      <w:pPr>
        <w:spacing w:after="120"/>
      </w:pPr>
      <w:r>
        <w:rPr>
          <w:rFonts w:ascii="Arial" w:hAnsi="Arial"/>
          <w:sz w:val="21"/>
        </w:rPr>
        <w:t>Implementation: lifetimes library (BetaGeoFitter + GammaGammaFitter). Time unit: weeks (days cause numerical instability). penalizer_coef=0.001.</w:t>
      </w:r>
    </w:p>
    <w:p>
      <w:pPr>
        <w:spacing w:after="120"/>
      </w:pPr>
      <w:r>
        <w:rPr>
          <w:rFonts w:ascii="Arial" w:hAnsi="Arial"/>
          <w:sz w:val="21"/>
        </w:rPr>
        <w:t>Technical fix: lifetimes stores a local lambda (generate_new_data) that pickle cannot serialise. Fixed by popping it before joblib.dump and restoring it after.</w:t>
      </w:r>
    </w:p>
    <w:p>
      <w:pPr>
        <w:spacing w:after="120"/>
      </w:pPr>
      <w:r>
        <w:rPr>
          <w:rFonts w:ascii="Arial" w:hAnsi="Arial"/>
          <w:sz w:val="21"/>
        </w:rPr>
        <w:t>8 features extracted: p_alive, exp_purchases_24m, exp_avg_revenue, bgnbd_clv, bgnbd_frequency, bgnbd_recency_weeks, bgnbd_T_weeks, bgnbd_monetary_value. Merged with 74 engineered features → 82 features total (customer_features_v3.csv).</w:t>
      </w:r>
    </w:p>
    <w:p>
      <w:pPr>
        <w:pStyle w:val="Heading2"/>
        <w:spacing w:before="280" w:after="80"/>
      </w:pPr>
      <w:r>
        <w:t>2.6  Single-Stage ML with BG/NBD Features</w:t>
      </w:r>
    </w:p>
    <w:p>
      <w:pPr>
        <w:spacing w:after="120"/>
      </w:pPr>
      <w:r>
        <w:rPr>
          <w:rFonts w:ascii="Arial" w:hAnsi="Arial"/>
          <w:sz w:val="21"/>
        </w:rPr>
        <w:t>Architecture change: Single model trained on ALL customers (including churners with revenue = 0).</w:t>
      </w:r>
    </w:p>
    <w:p>
      <w:pPr>
        <w:spacing w:after="120"/>
      </w:pPr>
      <w:r>
        <w:rPr>
          <w:rFonts w:ascii="Arial" w:hAnsi="Arial"/>
          <w:sz w:val="21"/>
        </w:rPr>
        <w:t>Target: log1p(revenue). Loss: MAE objective (regression_l1 / reg:absoluteerror / MAE). With MAE loss, each tree leaf predicts the median of its samples — leaves dominated by churners naturally predict 0 without needing a separate classifier or threshold.</w:t>
      </w:r>
    </w:p>
    <w:p>
      <w:pPr>
        <w:spacing w:after="60"/>
      </w:pPr>
      <w:r>
        <w:rPr>
          <w:rFonts w:ascii="Arial" w:hAnsi="Arial"/>
          <w:sz w:val="21"/>
        </w:rPr>
        <w:t>Methodology:</w:t>
      </w:r>
    </w:p>
    <w:p>
      <w:pPr>
        <w:pStyle w:val="ListBullet"/>
        <w:spacing w:after="60"/>
      </w:pPr>
      <w:r>
        <w:rPr>
          <w:rFonts w:ascii="Arial" w:hAnsi="Arial"/>
          <w:sz w:val="21"/>
        </w:rPr>
        <w:t>40-iteration RandomizedSearchCV + 5-fold CV per model for hyperparameter search</w:t>
      </w:r>
    </w:p>
    <w:p>
      <w:pPr>
        <w:pStyle w:val="ListBullet"/>
        <w:spacing w:after="60"/>
      </w:pPr>
      <w:r>
        <w:rPr>
          <w:rFonts w:ascii="Arial" w:hAnsi="Arial"/>
          <w:sz w:val="21"/>
        </w:rPr>
        <w:t>5-fold out-of-fold (OOF) predictions for robust MAE estimation without leakage</w:t>
      </w:r>
    </w:p>
    <w:p>
      <w:pPr>
        <w:pStyle w:val="ListBullet"/>
        <w:spacing w:after="60"/>
      </w:pPr>
      <w:r>
        <w:rPr>
          <w:rFonts w:ascii="Arial" w:hAnsi="Arial"/>
          <w:sz w:val="21"/>
        </w:rPr>
        <w:t>Nelder-Mead optimisation with softmax parameterisation for ensemble weights (LGB/XGB/CAT)</w:t>
      </w:r>
    </w:p>
    <w:p>
      <w:pPr>
        <w:pStyle w:val="ListBullet"/>
        <w:spacing w:after="60"/>
      </w:pPr>
      <w:r>
        <w:rPr>
          <w:rFonts w:ascii="Arial" w:hAnsi="Arial"/>
          <w:sz w:val="21"/>
        </w:rPr>
        <w:t>Scalar alpha blend: final = alpha × bgnbd_clv + (1-alpha) × ML_ensemble, alpha optimised on OOF</w:t>
      </w:r>
    </w:p>
    <w:p>
      <w:pPr>
        <w:spacing w:after="120"/>
      </w:pPr>
      <w:r>
        <w:rPr>
          <w:rFonts w:ascii="Arial" w:hAnsi="Arial"/>
          <w:b/>
          <w:sz w:val="21"/>
        </w:rPr>
        <w:t>Results:</w:t>
      </w:r>
      <w:r>
        <w:rPr>
          <w:rFonts w:ascii="Arial" w:hAnsi="Arial"/>
        </w:rPr>
        <w:t xml:space="preserve"> Results: MAE ~62.50 / Spearman ~0.40 — similar to two-stage pipeline.</w:t>
      </w:r>
    </w:p>
    <w:p>
      <w:pPr>
        <w:spacing w:after="120"/>
      </w:pPr>
      <w:r>
        <w:rPr>
          <w:rFonts w:ascii="Arial" w:hAnsi="Arial"/>
          <w:sz w:val="21"/>
        </w:rPr>
        <w:t>Why similar: The bottleneck is feature-space overlap, not architecture. The arms persisted in the scatter plot, confirming the model faces the same fundamental ambiguity.</w:t>
      </w:r>
    </w:p>
    <w:p>
      <w:pPr>
        <w:pStyle w:val="Heading2"/>
        <w:spacing w:before="280" w:after="80"/>
      </w:pPr>
      <w:r>
        <w:t>2.7  P_alive Soft Scaling  (Discarded)</w:t>
      </w:r>
    </w:p>
    <w:p>
      <w:pPr>
        <w:spacing w:after="120"/>
      </w:pPr>
      <w:r>
        <w:rPr>
          <w:rFonts w:ascii="Arial" w:hAnsi="Arial"/>
          <w:sz w:val="21"/>
        </w:rPr>
        <w:t>Idea: prediction = p_alive × E[revenue | customer is active]. Train revenue model on returning customers only, predict for all, multiply by p_alive — mirrors BG/NBD + Gamma-Gamma but with a stronger ML revenue estimator.</w:t>
      </w:r>
    </w:p>
    <w:p>
      <w:pPr>
        <w:spacing w:after="120"/>
      </w:pPr>
      <w:r>
        <w:rPr>
          <w:rFonts w:ascii="Arial" w:hAnsi="Arial"/>
          <w:b/>
          <w:sz w:val="21"/>
        </w:rPr>
        <w:t>Results:</w:t>
      </w:r>
      <w:r>
        <w:rPr>
          <w:rFonts w:ascii="Arial" w:hAnsi="Arial"/>
        </w:rPr>
        <w:t xml:space="preserve"> Results: OOF MAE 109.46 — significantly worse than ensemble. Discarded.</w:t>
      </w:r>
    </w:p>
    <w:p>
      <w:pPr>
        <w:spacing w:after="120"/>
      </w:pPr>
      <w:r>
        <w:rPr>
          <w:rFonts w:ascii="Arial" w:hAnsi="Arial"/>
          <w:sz w:val="21"/>
        </w:rPr>
        <w:t>Why it failed: p_alive is already one of the 82 input features. The trees learned the optimal relationship between p_alive and the target implicitly. Multiplying by it again adds distortion. The conditional model (trained only on returners) also cannot learn when to predict near-zero.</w:t>
      </w:r>
    </w:p>
    <w:p>
      <w:pPr>
        <w:pStyle w:val="Heading2"/>
        <w:spacing w:before="280" w:after="80"/>
      </w:pPr>
      <w:r>
        <w:t>2.8  Optuna Hyperparameter Optimisation</w:t>
      </w:r>
    </w:p>
    <w:p>
      <w:pPr>
        <w:spacing w:after="120"/>
      </w:pPr>
      <w:r>
        <w:rPr>
          <w:rFonts w:ascii="Arial" w:hAnsi="Arial"/>
          <w:sz w:val="21"/>
        </w:rPr>
        <w:t>Motivation: RandomizedSearchCV samples blindly. Optuna's TPE (Tree-structured Parzen Estimator) sampler learns which hyperparameter regions produce low loss and focuses exploration there — far more efficient with 8+ interacting parameters.</w:t>
      </w:r>
    </w:p>
    <w:p>
      <w:pPr>
        <w:spacing w:after="60"/>
      </w:pPr>
      <w:r>
        <w:rPr>
          <w:rFonts w:ascii="Arial" w:hAnsi="Arial"/>
          <w:sz w:val="21"/>
        </w:rPr>
        <w:t>Setup:</w:t>
      </w:r>
    </w:p>
    <w:p>
      <w:pPr>
        <w:pStyle w:val="ListBullet"/>
        <w:spacing w:after="60"/>
      </w:pPr>
      <w:r>
        <w:rPr>
          <w:rFonts w:ascii="Arial" w:hAnsi="Arial"/>
          <w:sz w:val="21"/>
        </w:rPr>
        <w:t>60 trials for LightGBM and XGBoost, 40 for CatBoost (slower per trial)</w:t>
      </w:r>
    </w:p>
    <w:p>
      <w:pPr>
        <w:pStyle w:val="ListBullet"/>
        <w:spacing w:after="60"/>
      </w:pPr>
      <w:r>
        <w:rPr>
          <w:rFonts w:ascii="Arial" w:hAnsi="Arial"/>
          <w:sz w:val="21"/>
        </w:rPr>
        <w:t>3-fold CV inside Optuna (fast proxy); full 5-fold OOF with winning params</w:t>
      </w:r>
    </w:p>
    <w:p>
      <w:pPr>
        <w:pStyle w:val="ListBullet"/>
        <w:spacing w:after="60"/>
      </w:pPr>
      <w:r>
        <w:rPr>
          <w:rFonts w:ascii="Arial" w:hAnsi="Arial"/>
          <w:sz w:val="21"/>
        </w:rPr>
        <w:t>Wider search ranges: learning_rate 0.005–0.15 (log), n_estimators 300–3000, num_leaves 20–300, reg_alpha/lambda 1e-8 to 10 (log), XGBoost adds gamma parameter</w:t>
      </w:r>
    </w:p>
    <w:p>
      <w:pPr>
        <w:spacing w:after="60"/>
      </w:pPr>
      <w:r>
        <w:rPr>
          <w:rFonts w:ascii="Arial" w:hAnsi="Arial"/>
          <w:sz w:val="21"/>
        </w:rPr>
        <w:t>Best params found:</w:t>
      </w:r>
    </w:p>
    <w:p>
      <w:pPr>
        <w:pStyle w:val="ListBullet"/>
        <w:spacing w:after="60"/>
      </w:pPr>
      <w:r>
        <w:rPr>
          <w:rFonts w:ascii="Arial" w:hAnsi="Arial"/>
          <w:sz w:val="21"/>
        </w:rPr>
        <w:t>LightGBM: n_estimators=1441, lr=0.00877, num_leaves=35, min_child_samples=77</w:t>
      </w:r>
    </w:p>
    <w:p>
      <w:pPr>
        <w:pStyle w:val="ListBullet"/>
        <w:spacing w:after="60"/>
      </w:pPr>
      <w:r>
        <w:rPr>
          <w:rFonts w:ascii="Arial" w:hAnsi="Arial"/>
          <w:sz w:val="21"/>
        </w:rPr>
        <w:t>XGBoost: n_estimators=466, lr=0.01059, max_depth=6, min_child_weight=20</w:t>
      </w:r>
    </w:p>
    <w:p>
      <w:pPr>
        <w:pStyle w:val="ListBullet"/>
        <w:spacing w:after="60"/>
      </w:pPr>
      <w:r>
        <w:rPr>
          <w:rFonts w:ascii="Arial" w:hAnsi="Arial"/>
          <w:sz w:val="21"/>
        </w:rPr>
        <w:t>CatBoost: iterations=1761, lr=0.00820, depth=8</w:t>
      </w:r>
    </w:p>
    <w:p>
      <w:pPr>
        <w:pStyle w:val="ListBullet"/>
        <w:spacing w:after="60"/>
      </w:pPr>
      <w:r>
        <w:rPr>
          <w:rFonts w:ascii="Arial" w:hAnsi="Arial"/>
          <w:sz w:val="21"/>
        </w:rPr>
        <w:t>Ensemble weights (Nelder-Mead optimised): LGB=0.202, XGB=0.256, CAT=0.542</w:t>
      </w:r>
    </w:p>
    <w:p>
      <w:pPr>
        <w:spacing w:after="120"/>
      </w:pPr>
      <w:r>
        <w:rPr>
          <w:rFonts w:ascii="Arial" w:hAnsi="Arial"/>
          <w:b/>
          <w:sz w:val="21"/>
        </w:rPr>
        <w:t>Results:</w:t>
      </w:r>
      <w:r>
        <w:rPr>
          <w:rFonts w:ascii="Arial" w:hAnsi="Arial"/>
        </w:rPr>
        <w:t xml:space="preserve"> Results: OOF MAE 62.42 / Val MAE 62.37 / Val Spearman 0.3706. All three algorithms converged to essentially the same OOF score (LGB 62.56, XGB 62.57, CAT 62.46). Three independent algorithms returning the same MAE despite very different hyperparameters is a diagnostic signal: the bottleneck is not hyperparameters, it is the information available in the features.</w:t>
      </w:r>
    </w:p>
    <w:p>
      <w:pPr>
        <w:spacing w:after="120"/>
      </w:pPr>
      <w:r>
        <w:rPr>
          <w:rFonts w:ascii="Arial" w:hAnsi="Arial"/>
          <w:sz w:val="21"/>
        </w:rPr>
        <w:t>BG/NBD blend: Optimal alpha = 0.0 — BG/NBD adds nothing on top of the ML ensemble. The 8 BG/NBD features are already inside the 82-feature input space, so the trees have already learned the BG/NBD signal implicitly.</w:t>
      </w:r>
    </w:p>
    <w:p>
      <w:pPr>
        <w:pStyle w:val="Heading2"/>
        <w:spacing w:before="280" w:after="80"/>
      </w:pPr>
      <w:r>
        <w:t>2.9  Kevin's EDA Features  (Teammate Contribution)</w:t>
      </w:r>
    </w:p>
    <w:p>
      <w:pPr>
        <w:spacing w:after="120"/>
      </w:pPr>
      <w:r>
        <w:rPr>
          <w:rFonts w:ascii="Arial" w:hAnsi="Arial"/>
          <w:sz w:val="21"/>
        </w:rPr>
        <w:t>Source: Teammate Kevin (colin0019) pushed 4 R EDA notebooks analysing the transaction data from different angles. Three groups of features not yet in the Python pipeline were identified and integrated into 02_feature_engineering.ipynb.</w:t>
      </w:r>
    </w:p>
    <w:p>
      <w:pPr>
        <w:spacing w:after="60"/>
      </w:pPr>
      <w:r>
        <w:rPr>
          <w:rFonts w:ascii="Arial" w:hAnsi="Arial"/>
          <w:sz w:val="21"/>
        </w:rPr>
        <w:t>9 new features added across 3 groups:</w:t>
      </w:r>
    </w:p>
    <w:p>
      <w:pPr>
        <w:pStyle w:val="ListBullet"/>
        <w:spacing w:after="60"/>
      </w:pPr>
      <w:r>
        <w:rPr>
          <w:rFonts w:ascii="Arial" w:hAnsi="Arial"/>
          <w:b/>
          <w:sz w:val="21"/>
        </w:rPr>
        <w:t>Sales timing (3 features):</w:t>
      </w:r>
      <w:r>
        <w:rPr>
          <w:rFonts w:ascii="Arial" w:hAnsi="Arial"/>
        </w:rPr>
        <w:t xml:space="preserve"> Sales timing (3 features): pct_orders_during_sales (fraction of orders placed in January or July — ~25% of customers only shop during sale months), revenue_trend (revenue_2017/revenue_2016 ratio; −999 sentinel if no 2016 baseline), frequency_trend (orders_2017/orders_2016 ratio).</w:t>
      </w:r>
    </w:p>
    <w:p>
      <w:pPr>
        <w:pStyle w:val="ListBullet"/>
        <w:spacing w:after="60"/>
      </w:pPr>
      <w:r>
        <w:rPr>
          <w:rFonts w:ascii="Arial" w:hAnsi="Arial"/>
          <w:b/>
          <w:sz w:val="21"/>
        </w:rPr>
        <w:t>Gender/product segment (3 features):</w:t>
      </w:r>
      <w:r>
        <w:rPr>
          <w:rFonts w:ascii="Arial" w:hAnsi="Arial"/>
        </w:rPr>
        <w:t xml:space="preserve"> Gender/product segment (3 features): women_items_only, men_items_only, children_items_only — flags whether all items a customer bought belonged to a single gender segment. Distinguishes personal shoppers from gift buyers.</w:t>
      </w:r>
    </w:p>
    <w:p>
      <w:pPr>
        <w:pStyle w:val="ListBullet"/>
        <w:spacing w:after="60"/>
      </w:pPr>
      <w:r>
        <w:rPr>
          <w:rFonts w:ascii="Arial" w:hAnsi="Arial"/>
          <w:b/>
          <w:sz w:val="21"/>
        </w:rPr>
        <w:t>Return shop behaviour (3 features):</w:t>
      </w:r>
      <w:r>
        <w:rPr>
          <w:rFonts w:ascii="Arial" w:hAnsi="Arial"/>
        </w:rPr>
        <w:t xml:space="preserve"> Return shop behaviour (3 features): returned_to_flagship (ever returned to the main flagship store ID), returned_to_high_loyalty_shop (returned to any of 6 shops with above-average repeat purchase rates), n_return_shops (number of distinct return shop IDs used).</w:t>
      </w:r>
    </w:p>
    <w:p>
      <w:pPr>
        <w:spacing w:after="120"/>
      </w:pPr>
      <w:r>
        <w:rPr>
          <w:rFonts w:ascii="Arial" w:hAnsi="Arial"/>
          <w:sz w:val="21"/>
        </w:rPr>
        <w:t>Total features: 74 + 9 new = 83 in v2; 83 + 8 BG/NBD = 90 in v3 (customer_features_v3.csv).</w:t>
      </w:r>
    </w:p>
    <w:p>
      <w:pPr>
        <w:spacing w:after="120"/>
      </w:pPr>
      <w:r>
        <w:rPr>
          <w:rFonts w:ascii="Arial" w:hAnsi="Arial"/>
          <w:b/>
          <w:sz w:val="21"/>
        </w:rPr>
        <w:t>Results:</w:t>
      </w:r>
      <w:r>
        <w:rPr>
          <w:rFonts w:ascii="Arial" w:hAnsi="Arial"/>
        </w:rPr>
        <w:t xml:space="preserve"> Results: Val MAE 62.37 / Val Spearman 0.3706 — marginal MAE improvement (~0.08) over the pre-Kevin ensemble (62.45). Feature ceiling confirmed: more features continue to yield diminishing returns.</w:t>
      </w:r>
    </w:p>
    <w:p>
      <w:pPr>
        <w:pStyle w:val="Heading2"/>
        <w:spacing w:before="280" w:after="80"/>
      </w:pPr>
      <w:r>
        <w:t>2.10  Two-Stage ML: Churn Classifier × Conditional Revenue</w:t>
      </w:r>
    </w:p>
    <w:p>
      <w:pPr>
        <w:spacing w:after="120"/>
      </w:pPr>
      <w:r>
        <w:rPr>
          <w:rFonts w:ascii="Arial" w:hAnsi="Arial"/>
          <w:sz w:val="21"/>
        </w:rPr>
        <w:t>Root cause: 63.4% of training customers have exactly €0 revenue yet all single-stage models predict a small positive number for nearly all of them. In log1p space the churner target (log1p(0) = 0) and a low-revenue returner target sit very close together — the decision boundary is inherently blurry. All three Optuna-tuned algorithms converging to OOF MAE ≈ 62.42 confirmed this is a feature-space ceiling, not a hyperparameter problem.</w:t>
      </w:r>
    </w:p>
    <w:p>
      <w:pPr>
        <w:spacing w:after="60"/>
      </w:pPr>
      <w:r>
        <w:rPr>
          <w:rFonts w:ascii="Arial" w:hAnsi="Arial"/>
          <w:sz w:val="21"/>
        </w:rPr>
        <w:t>Architecture:</w:t>
      </w:r>
    </w:p>
    <w:p>
      <w:pPr>
        <w:pStyle w:val="ListBullet"/>
        <w:spacing w:after="60"/>
      </w:pPr>
      <w:r>
        <w:rPr>
          <w:rFonts w:ascii="Arial" w:hAnsi="Arial"/>
          <w:b/>
          <w:sz w:val="21"/>
        </w:rPr>
        <w:t>Stage 1 — Churn classifier:</w:t>
      </w:r>
      <w:r>
        <w:rPr>
          <w:rFonts w:ascii="Arial" w:hAnsi="Arial"/>
        </w:rPr>
        <w:t xml:space="preserve"> Stage 1 — Churn classifier: LightGBM binary classifier trained on all customers, all 90 features. Target: is_returner = (revenue_2018_2019 &gt; 0). Output: P(customer returns in 2018–2019).</w:t>
      </w:r>
    </w:p>
    <w:p>
      <w:pPr>
        <w:pStyle w:val="ListBullet"/>
        <w:spacing w:after="60"/>
      </w:pPr>
      <w:r>
        <w:rPr>
          <w:rFonts w:ascii="Arial" w:hAnsi="Arial"/>
          <w:b/>
          <w:sz w:val="21"/>
        </w:rPr>
        <w:t>Stage 2 — Conditional regressor:</w:t>
      </w:r>
      <w:r>
        <w:rPr>
          <w:rFonts w:ascii="Arial" w:hAnsi="Arial"/>
        </w:rPr>
        <w:t xml:space="preserve"> Stage 2 — Conditional regressor: Optuna-tuned LightGBM regressor trained on returning customers only. Target: log1p(revenue). Output: E[revenue | customer is a returner].</w:t>
      </w:r>
    </w:p>
    <w:p>
      <w:pPr>
        <w:pStyle w:val="ListBullet"/>
        <w:spacing w:after="60"/>
      </w:pPr>
      <w:r>
        <w:rPr>
          <w:rFonts w:ascii="Arial" w:hAnsi="Arial"/>
          <w:b/>
          <w:sz w:val="21"/>
        </w:rPr>
        <w:t>Combination:</w:t>
      </w:r>
      <w:r>
        <w:rPr>
          <w:rFonts w:ascii="Arial" w:hAnsi="Arial"/>
        </w:rPr>
        <w:t xml:space="preserve"> Combination: prediction = P(return) × conditional_revenue.</w:t>
      </w:r>
    </w:p>
    <w:p>
      <w:pPr>
        <w:pStyle w:val="ListBullet"/>
        <w:spacing w:after="60"/>
      </w:pPr>
      <w:r>
        <w:rPr>
          <w:rFonts w:ascii="Arial" w:hAnsi="Arial"/>
          <w:b/>
          <w:sz w:val="21"/>
        </w:rPr>
        <w:t>Optional threshold:</w:t>
      </w:r>
      <w:r>
        <w:rPr>
          <w:rFonts w:ascii="Arial" w:hAnsi="Arial"/>
        </w:rPr>
        <w:t xml:space="preserve"> Optional threshold: an OOF-optimised revenue threshold (77.1€) that zeros out residual predictions below the break-even level.</w:t>
      </w:r>
    </w:p>
    <w:p>
      <w:pPr>
        <w:spacing w:after="80"/>
      </w:pPr>
      <w:r>
        <w:rPr>
          <w:rFonts w:ascii="Arial" w:hAnsi="Arial"/>
          <w:sz w:val="21"/>
        </w:rPr>
        <w:t>Comparison to original two-stage (section 2.1):</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1F497D"/>
          </w:tcPr>
          <w:p>
            <w:pPr>
              <w:spacing w:after="0"/>
            </w:pPr>
            <w:r>
              <w:rPr>
                <w:rFonts w:ascii="Arial" w:hAnsi="Arial"/>
                <w:b/>
                <w:color w:val="FFFFFF"/>
                <w:sz w:val="20"/>
              </w:rPr>
              <w:t>Dimension</w:t>
            </w:r>
          </w:p>
        </w:tc>
        <w:tc>
          <w:tcPr>
            <w:tcW w:type="dxa" w:w="3888"/>
            <w:shd w:val="clear" w:color="auto" w:fill="1F497D"/>
          </w:tcPr>
          <w:p>
            <w:pPr>
              <w:spacing w:after="0"/>
            </w:pPr>
            <w:r>
              <w:rPr>
                <w:rFonts w:ascii="Arial" w:hAnsi="Arial"/>
                <w:b/>
                <w:color w:val="FFFFFF"/>
                <w:sz w:val="20"/>
              </w:rPr>
              <w:t>Original two-stage (2.1)</w:t>
            </w:r>
          </w:p>
        </w:tc>
        <w:tc>
          <w:tcPr>
            <w:tcW w:type="dxa" w:w="3600"/>
            <w:shd w:val="clear" w:color="auto" w:fill="1F497D"/>
          </w:tcPr>
          <w:p>
            <w:pPr>
              <w:spacing w:after="0"/>
            </w:pPr>
            <w:r>
              <w:rPr>
                <w:rFonts w:ascii="Arial" w:hAnsi="Arial"/>
                <w:b/>
                <w:color w:val="FFFFFF"/>
                <w:sz w:val="20"/>
              </w:rPr>
              <w:t>New two-stage (2.10)</w:t>
            </w:r>
          </w:p>
        </w:tc>
      </w:tr>
      <w:tr>
        <w:tc>
          <w:tcPr>
            <w:tcW w:type="dxa" w:w="2592"/>
            <w:shd w:val="clear" w:color="auto" w:fill="EBF3FB"/>
          </w:tcPr>
          <w:p>
            <w:pPr>
              <w:spacing w:after="0"/>
            </w:pPr>
            <w:r>
              <w:rPr>
                <w:rFonts w:ascii="Arial" w:hAnsi="Arial"/>
                <w:sz w:val="19"/>
              </w:rPr>
              <w:t>Classifier ensemble</w:t>
            </w:r>
          </w:p>
        </w:tc>
        <w:tc>
          <w:tcPr>
            <w:tcW w:type="dxa" w:w="3888"/>
            <w:shd w:val="clear" w:color="auto" w:fill="EBF3FB"/>
          </w:tcPr>
          <w:p>
            <w:pPr>
              <w:spacing w:after="0"/>
            </w:pPr>
            <w:r>
              <w:rPr>
                <w:rFonts w:ascii="Arial" w:hAnsi="Arial"/>
                <w:sz w:val="19"/>
              </w:rPr>
              <w:t>LGB + XGB + CatBoost (3 models)</w:t>
            </w:r>
          </w:p>
        </w:tc>
        <w:tc>
          <w:tcPr>
            <w:tcW w:type="dxa" w:w="3600"/>
            <w:shd w:val="clear" w:color="auto" w:fill="EBF3FB"/>
          </w:tcPr>
          <w:p>
            <w:pPr>
              <w:spacing w:after="0"/>
            </w:pPr>
            <w:r>
              <w:rPr>
                <w:rFonts w:ascii="Arial" w:hAnsi="Arial"/>
                <w:sz w:val="19"/>
              </w:rPr>
              <w:t>LGB only</w:t>
            </w:r>
          </w:p>
        </w:tc>
      </w:tr>
      <w:tr>
        <w:tc>
          <w:tcPr>
            <w:tcW w:type="dxa" w:w="2592"/>
            <w:shd w:val="clear" w:color="auto" w:fill="FFFFFF"/>
          </w:tcPr>
          <w:p>
            <w:pPr>
              <w:spacing w:after="0"/>
            </w:pPr>
            <w:r>
              <w:rPr>
                <w:rFonts w:ascii="Arial" w:hAnsi="Arial"/>
                <w:sz w:val="19"/>
              </w:rPr>
              <w:t>Tuning metric</w:t>
            </w:r>
          </w:p>
        </w:tc>
        <w:tc>
          <w:tcPr>
            <w:tcW w:type="dxa" w:w="3888"/>
            <w:shd w:val="clear" w:color="auto" w:fill="FFFFFF"/>
          </w:tcPr>
          <w:p>
            <w:pPr>
              <w:spacing w:after="0"/>
            </w:pPr>
            <w:r>
              <w:rPr>
                <w:rFonts w:ascii="Arial" w:hAnsi="Arial"/>
                <w:sz w:val="19"/>
              </w:rPr>
              <w:t>AUC — discriminative, not MAE-aligned</w:t>
            </w:r>
          </w:p>
        </w:tc>
        <w:tc>
          <w:tcPr>
            <w:tcW w:type="dxa" w:w="3600"/>
            <w:shd w:val="clear" w:color="auto" w:fill="FFFFFF"/>
          </w:tcPr>
          <w:p>
            <w:pPr>
              <w:spacing w:after="0"/>
            </w:pPr>
            <w:r>
              <w:rPr>
                <w:rFonts w:ascii="Arial" w:hAnsi="Arial"/>
                <w:sz w:val="19"/>
              </w:rPr>
              <w:t>Binary crossentropy + MAE loss</w:t>
            </w:r>
          </w:p>
        </w:tc>
      </w:tr>
      <w:tr>
        <w:tc>
          <w:tcPr>
            <w:tcW w:type="dxa" w:w="2592"/>
            <w:shd w:val="clear" w:color="auto" w:fill="EBF3FB"/>
          </w:tcPr>
          <w:p>
            <w:pPr>
              <w:spacing w:after="0"/>
            </w:pPr>
            <w:r>
              <w:rPr>
                <w:rFonts w:ascii="Arial" w:hAnsi="Arial"/>
                <w:sz w:val="19"/>
              </w:rPr>
              <w:t>Prob. calibration</w:t>
            </w:r>
          </w:p>
        </w:tc>
        <w:tc>
          <w:tcPr>
            <w:tcW w:type="dxa" w:w="3888"/>
            <w:shd w:val="clear" w:color="auto" w:fill="EBF3FB"/>
          </w:tcPr>
          <w:p>
            <w:pPr>
              <w:spacing w:after="0"/>
            </w:pPr>
            <w:r>
              <w:rPr>
                <w:rFonts w:ascii="Arial" w:hAnsi="Arial"/>
                <w:sz w:val="19"/>
              </w:rPr>
              <w:t>Isotonic regression on 20% cal set</w:t>
            </w:r>
          </w:p>
        </w:tc>
        <w:tc>
          <w:tcPr>
            <w:tcW w:type="dxa" w:w="3600"/>
            <w:shd w:val="clear" w:color="auto" w:fill="EBF3FB"/>
          </w:tcPr>
          <w:p>
            <w:pPr>
              <w:spacing w:after="0"/>
            </w:pPr>
            <w:r>
              <w:rPr>
                <w:rFonts w:ascii="Arial" w:hAnsi="Arial"/>
                <w:sz w:val="19"/>
              </w:rPr>
              <w:t>None (raw probabilities)</w:t>
            </w:r>
          </w:p>
        </w:tc>
      </w:tr>
      <w:tr>
        <w:tc>
          <w:tcPr>
            <w:tcW w:type="dxa" w:w="2592"/>
            <w:shd w:val="clear" w:color="auto" w:fill="FFFFFF"/>
          </w:tcPr>
          <w:p>
            <w:pPr>
              <w:spacing w:after="0"/>
            </w:pPr>
            <w:r>
              <w:rPr>
                <w:rFonts w:ascii="Arial" w:hAnsi="Arial"/>
                <w:sz w:val="19"/>
              </w:rPr>
              <w:t>Decision rule</w:t>
            </w:r>
          </w:p>
        </w:tc>
        <w:tc>
          <w:tcPr>
            <w:tcW w:type="dxa" w:w="3888"/>
            <w:shd w:val="clear" w:color="auto" w:fill="FFFFFF"/>
          </w:tcPr>
          <w:p>
            <w:pPr>
              <w:spacing w:after="0"/>
            </w:pPr>
            <w:r>
              <w:rPr>
                <w:rFonts w:ascii="Arial" w:hAnsi="Arial"/>
                <w:sz w:val="19"/>
              </w:rPr>
              <w:t>Hard: P &gt; threshold → predict, else 0</w:t>
            </w:r>
          </w:p>
        </w:tc>
        <w:tc>
          <w:tcPr>
            <w:tcW w:type="dxa" w:w="3600"/>
            <w:shd w:val="clear" w:color="auto" w:fill="FFFFFF"/>
          </w:tcPr>
          <w:p>
            <w:pPr>
              <w:spacing w:after="0"/>
            </w:pPr>
            <w:r>
              <w:rPr>
                <w:rFonts w:ascii="Arial" w:hAnsi="Arial"/>
                <w:sz w:val="19"/>
              </w:rPr>
              <w:t>Soft: P × conditional_revenue</w:t>
            </w:r>
          </w:p>
        </w:tc>
      </w:tr>
      <w:tr>
        <w:tc>
          <w:tcPr>
            <w:tcW w:type="dxa" w:w="2592"/>
            <w:shd w:val="clear" w:color="auto" w:fill="EBF3FB"/>
          </w:tcPr>
          <w:p>
            <w:pPr>
              <w:spacing w:after="0"/>
            </w:pPr>
            <w:r>
              <w:rPr>
                <w:rFonts w:ascii="Arial" w:hAnsi="Arial"/>
                <w:sz w:val="19"/>
              </w:rPr>
              <w:t>Feature set</w:t>
            </w:r>
          </w:p>
        </w:tc>
        <w:tc>
          <w:tcPr>
            <w:tcW w:type="dxa" w:w="3888"/>
            <w:shd w:val="clear" w:color="auto" w:fill="EBF3FB"/>
          </w:tcPr>
          <w:p>
            <w:pPr>
              <w:spacing w:after="0"/>
            </w:pPr>
            <w:r>
              <w:rPr>
                <w:rFonts w:ascii="Arial" w:hAnsi="Arial"/>
                <w:sz w:val="19"/>
              </w:rPr>
              <w:t>~51 features</w:t>
            </w:r>
          </w:p>
        </w:tc>
        <w:tc>
          <w:tcPr>
            <w:tcW w:type="dxa" w:w="3600"/>
            <w:shd w:val="clear" w:color="auto" w:fill="EBF3FB"/>
          </w:tcPr>
          <w:p>
            <w:pPr>
              <w:spacing w:after="0"/>
            </w:pPr>
            <w:r>
              <w:rPr>
                <w:rFonts w:ascii="Arial" w:hAnsi="Arial"/>
                <w:sz w:val="19"/>
              </w:rPr>
              <w:t>90 features (v3)</w:t>
            </w:r>
          </w:p>
        </w:tc>
      </w:tr>
      <w:tr>
        <w:tc>
          <w:tcPr>
            <w:tcW w:type="dxa" w:w="2592"/>
            <w:shd w:val="clear" w:color="auto" w:fill="FFFFFF"/>
          </w:tcPr>
          <w:p>
            <w:pPr>
              <w:spacing w:after="0"/>
            </w:pPr>
            <w:r>
              <w:rPr>
                <w:rFonts w:ascii="Arial" w:hAnsi="Arial"/>
                <w:sz w:val="19"/>
              </w:rPr>
              <w:t>Stage integration</w:t>
            </w:r>
          </w:p>
        </w:tc>
        <w:tc>
          <w:tcPr>
            <w:tcW w:type="dxa" w:w="3888"/>
            <w:shd w:val="clear" w:color="auto" w:fill="FFFFFF"/>
          </w:tcPr>
          <w:p>
            <w:pPr>
              <w:spacing w:after="0"/>
            </w:pPr>
            <w:r>
              <w:rPr>
                <w:rFonts w:ascii="Arial" w:hAnsi="Arial"/>
                <w:sz w:val="19"/>
              </w:rPr>
              <w:t>Separate notebooks, separate splits</w:t>
            </w:r>
          </w:p>
        </w:tc>
        <w:tc>
          <w:tcPr>
            <w:tcW w:type="dxa" w:w="3600"/>
            <w:shd w:val="clear" w:color="auto" w:fill="FFFFFF"/>
          </w:tcPr>
          <w:p>
            <w:pPr>
              <w:spacing w:after="0"/>
            </w:pPr>
            <w:r>
              <w:rPr>
                <w:rFonts w:ascii="Arial" w:hAnsi="Arial"/>
                <w:sz w:val="19"/>
              </w:rPr>
              <w:t>Both stages inside same 5-fold OOF</w:t>
            </w:r>
          </w:p>
        </w:tc>
      </w:tr>
      <w:tr>
        <w:tc>
          <w:tcPr>
            <w:tcW w:type="dxa" w:w="2592"/>
            <w:shd w:val="clear" w:color="auto" w:fill="EBF3FB"/>
          </w:tcPr>
          <w:p>
            <w:pPr>
              <w:spacing w:after="0"/>
            </w:pPr>
            <w:r>
              <w:rPr>
                <w:rFonts w:ascii="Arial" w:hAnsi="Arial"/>
                <w:sz w:val="19"/>
              </w:rPr>
              <w:t>Evaluation</w:t>
            </w:r>
          </w:p>
        </w:tc>
        <w:tc>
          <w:tcPr>
            <w:tcW w:type="dxa" w:w="3888"/>
            <w:shd w:val="clear" w:color="auto" w:fill="EBF3FB"/>
          </w:tcPr>
          <w:p>
            <w:pPr>
              <w:spacing w:after="0"/>
            </w:pPr>
            <w:r>
              <w:rPr>
                <w:rFonts w:ascii="Arial" w:hAnsi="Arial"/>
                <w:sz w:val="19"/>
              </w:rPr>
              <w:t>AUC + MAE separately</w:t>
            </w:r>
          </w:p>
        </w:tc>
        <w:tc>
          <w:tcPr>
            <w:tcW w:type="dxa" w:w="3600"/>
            <w:shd w:val="clear" w:color="auto" w:fill="EBF3FB"/>
          </w:tcPr>
          <w:p>
            <w:pPr>
              <w:spacing w:after="0"/>
            </w:pPr>
            <w:r>
              <w:rPr>
                <w:rFonts w:ascii="Arial" w:hAnsi="Arial"/>
                <w:sz w:val="19"/>
              </w:rPr>
              <w:t>Single OOF MAE for combined product</w:t>
            </w:r>
          </w:p>
        </w:tc>
      </w:tr>
    </w:tbl>
    <w:p/>
    <w:p>
      <w:pPr>
        <w:spacing w:after="60"/>
      </w:pPr>
      <w:r>
        <w:rPr>
          <w:rFonts w:ascii="Arial" w:hAnsi="Arial"/>
          <w:sz w:val="21"/>
        </w:rPr>
        <w:t>OOF results:</w:t>
      </w:r>
    </w:p>
    <w:p>
      <w:pPr>
        <w:pStyle w:val="ListBullet"/>
        <w:spacing w:after="60"/>
      </w:pPr>
      <w:r>
        <w:rPr>
          <w:rFonts w:ascii="Arial" w:hAnsi="Arial"/>
          <w:sz w:val="21"/>
        </w:rPr>
        <w:t>Two-stage ML: OOF MAE 71.49 / Spearman 0.3985 — better Spearman than ensemble (0.3784) but much worse MAE (71.49 vs 62.42).</w:t>
      </w:r>
    </w:p>
    <w:p>
      <w:pPr>
        <w:pStyle w:val="ListBullet"/>
        <w:spacing w:after="60"/>
      </w:pPr>
      <w:r>
        <w:rPr>
          <w:rFonts w:ascii="Arial" w:hAnsi="Arial"/>
          <w:sz w:val="21"/>
        </w:rPr>
        <w:t>Two-stage + threshold (77.1€): OOF MAE 62.82 / Spearman 0.3937 — threshold helps but still worse than pure ensemble on MAE.</w:t>
      </w:r>
    </w:p>
    <w:p>
      <w:pPr>
        <w:spacing w:after="120"/>
      </w:pPr>
      <w:r>
        <w:rPr>
          <w:rFonts w:ascii="Arial" w:hAnsi="Arial"/>
          <w:sz w:val="21"/>
        </w:rPr>
        <w:t>Why the trade-off: P(return) &lt; 1 for every customer, so multiplying conditional_revenue by a probability always scales predictions down. This compresses the revenue magnitude for true returners, hurting MAE, but the classifier correctly re-orders customers (churners rank lower, high-value returners rank higher) — hence better Spearman.</w:t>
      </w:r>
    </w:p>
    <w:p>
      <w:pPr>
        <w:spacing w:after="120"/>
      </w:pPr>
      <w:r>
        <w:rPr>
          <w:rFonts w:ascii="Arial" w:hAnsi="Arial"/>
          <w:sz w:val="21"/>
        </w:rPr>
        <w:t>Decision: USE_TWOSTAGE=False. Pure ML ensemble retained as the MAE-optimal base.</w:t>
      </w:r>
    </w:p>
    <w:p>
      <w:pPr>
        <w:pStyle w:val="Heading2"/>
        <w:spacing w:before="280" w:after="80"/>
      </w:pPr>
      <w:r>
        <w:t>2.11  Two-Stage × ML Ensemble Blend  (Final Approach)</w:t>
      </w:r>
    </w:p>
    <w:p>
      <w:pPr>
        <w:spacing w:after="120"/>
      </w:pPr>
      <w:r>
        <w:rPr>
          <w:rFonts w:ascii="Arial" w:hAnsi="Arial"/>
          <w:sz w:val="21"/>
        </w:rPr>
        <w:t>Insight: The two-stage has better Spearman (ranks customers more correctly) while the ML ensemble has better MAE (better absolute magnitude). A blend of the two can harvest both strengths: final = β × two_stage + (1−β) × ml_ensemble.</w:t>
      </w:r>
    </w:p>
    <w:p>
      <w:pPr>
        <w:spacing w:after="120"/>
      </w:pPr>
      <w:r>
        <w:rPr>
          <w:rFonts w:ascii="Arial" w:hAnsi="Arial"/>
          <w:sz w:val="21"/>
        </w:rPr>
        <w:t>Optimisation: Sweep β ∈ [0, 1] on OOF predictions. The MAE curve is strictly monotone increasing in β — the optimizer finds β*=0 (pure ML ensemble minimises MAE). However, the Spearman curve reveals a sharp cliff: at β≈0.04 Spearman jumps from 0.3784 to ~0.401 on OOF, then stays roughly flat up to β≈0.6. Even 4% two-stage weight dramatically re-orders customers near the churn boundary — where the Spearman ranking matters most — at negligible MAE cost.</w:t>
      </w:r>
    </w:p>
    <w:p>
      <w:pPr>
        <w:spacing w:after="120"/>
      </w:pPr>
      <w:r>
        <w:rPr>
          <w:rFonts w:ascii="Arial" w:hAnsi="Arial"/>
          <w:b/>
          <w:sz w:val="21"/>
        </w:rPr>
        <w:t>Decision:</w:t>
      </w:r>
      <w:r>
        <w:rPr>
          <w:rFonts w:ascii="Arial" w:hAnsi="Arial"/>
        </w:rPr>
        <w:t xml:space="preserve"> Decision: Manually fix β=0.04. The MAE-optimal β (0) ignores Spearman entirely; at β=0.04 we gain ~+0.023 Spearman for only +0.03 OOF MAE.</w:t>
      </w:r>
    </w:p>
    <w:p>
      <w:pPr>
        <w:spacing w:after="60"/>
      </w:pPr>
      <w:r>
        <w:rPr>
          <w:rFonts w:ascii="Arial" w:hAnsi="Arial"/>
          <w:sz w:val="21"/>
        </w:rPr>
        <w:t>Val results (held-out 20%):</w:t>
      </w:r>
    </w:p>
    <w:p>
      <w:pPr>
        <w:pStyle w:val="ListBullet"/>
        <w:spacing w:after="60"/>
      </w:pPr>
      <w:r>
        <w:rPr>
          <w:rFonts w:ascii="Arial" w:hAnsi="Arial"/>
          <w:sz w:val="21"/>
        </w:rPr>
        <w:t>Two-stage × ML blend (β=0.04): Val MAE 62.69 / Val Spearman 0.4032</w:t>
      </w:r>
    </w:p>
    <w:p>
      <w:pPr>
        <w:pStyle w:val="ListBullet"/>
        <w:spacing w:after="60"/>
      </w:pPr>
      <w:r>
        <w:rPr>
          <w:rFonts w:ascii="Arial" w:hAnsi="Arial"/>
          <w:sz w:val="21"/>
        </w:rPr>
        <w:t>vs. pure ML ensemble: Val MAE 62.37 / Val Spearman 0.3706</w:t>
      </w:r>
    </w:p>
    <w:p>
      <w:pPr>
        <w:pStyle w:val="ListBullet"/>
        <w:spacing w:after="60"/>
      </w:pPr>
      <w:r>
        <w:rPr>
          <w:rFonts w:ascii="Arial" w:hAnsi="Arial"/>
          <w:sz w:val="21"/>
        </w:rPr>
        <w:t>Cost: +0.32 MAE. Gain: +0.033 Spearman (Spearman now within 0.007 of benchmark 0.41)</w:t>
      </w:r>
    </w:p>
    <w:p>
      <w:pPr>
        <w:spacing w:after="120"/>
      </w:pPr>
      <w:r>
        <w:rPr>
          <w:rFonts w:ascii="Arial" w:hAnsi="Arial"/>
          <w:sz w:val="21"/>
        </w:rPr>
        <w:t>This is the final submission strategy. USE_TS_ML_BLEND=True saved to models/blend_beta.pkl and picked up by 05_test_prediction.ipynb → submission_v7_ts_ml_blend_b0.040.csv.</w:t>
      </w:r>
    </w:p>
    <w:p>
      <w:pPr>
        <w:pStyle w:val="Heading1"/>
        <w:spacing w:before="280" w:after="80"/>
      </w:pPr>
      <w:r>
        <w:t>3. Results Summary</w:t>
      </w:r>
    </w:p>
    <w:p>
      <w:pPr>
        <w:spacing w:after="80"/>
      </w:pPr>
      <w:r>
        <w:rPr>
          <w:rFonts w:ascii="Arial" w:hAnsi="Arial"/>
          <w:sz w:val="21"/>
        </w:rPr>
        <w:t>All MAE/Spearman figures are on the held-out 20% validation set unless noted as OOF.</w:t>
      </w:r>
    </w:p>
    <w:tbl>
      <w:tblPr>
        <w:tblStyle w:val="TableGrid"/>
        <w:tblW w:type="auto" w:w="0"/>
        <w:tblLook w:firstColumn="1" w:firstRow="1" w:lastColumn="0" w:lastRow="0" w:noHBand="0" w:noVBand="1" w:val="04A0"/>
      </w:tblPr>
      <w:tblGrid>
        <w:gridCol w:w="2351"/>
        <w:gridCol w:w="2351"/>
        <w:gridCol w:w="2351"/>
        <w:gridCol w:w="2351"/>
      </w:tblGrid>
      <w:tr>
        <w:tc>
          <w:tcPr>
            <w:tcW w:type="dxa" w:w="4176"/>
            <w:shd w:val="clear" w:color="auto" w:fill="1F497D"/>
          </w:tcPr>
          <w:p>
            <w:pPr>
              <w:spacing w:after="0"/>
            </w:pPr>
            <w:r>
              <w:rPr>
                <w:rFonts w:ascii="Arial" w:hAnsi="Arial"/>
                <w:b/>
                <w:color w:val="FFFFFF"/>
                <w:sz w:val="20"/>
              </w:rPr>
              <w:t>Approach</w:t>
            </w:r>
          </w:p>
        </w:tc>
        <w:tc>
          <w:tcPr>
            <w:tcW w:type="dxa" w:w="1224"/>
            <w:shd w:val="clear" w:color="auto" w:fill="1F497D"/>
          </w:tcPr>
          <w:p>
            <w:pPr>
              <w:spacing w:after="0"/>
            </w:pPr>
            <w:r>
              <w:rPr>
                <w:rFonts w:ascii="Arial" w:hAnsi="Arial"/>
                <w:b/>
                <w:color w:val="FFFFFF"/>
                <w:sz w:val="20"/>
              </w:rPr>
              <w:t>Val MAE</w:t>
            </w:r>
          </w:p>
        </w:tc>
        <w:tc>
          <w:tcPr>
            <w:tcW w:type="dxa" w:w="1296"/>
            <w:shd w:val="clear" w:color="auto" w:fill="1F497D"/>
          </w:tcPr>
          <w:p>
            <w:pPr>
              <w:spacing w:after="0"/>
            </w:pPr>
            <w:r>
              <w:rPr>
                <w:rFonts w:ascii="Arial" w:hAnsi="Arial"/>
                <w:b/>
                <w:color w:val="FFFFFF"/>
                <w:sz w:val="20"/>
              </w:rPr>
              <w:t>Spearman</w:t>
            </w:r>
          </w:p>
        </w:tc>
        <w:tc>
          <w:tcPr>
            <w:tcW w:type="dxa" w:w="3384"/>
            <w:shd w:val="clear" w:color="auto" w:fill="1F497D"/>
          </w:tcPr>
          <w:p>
            <w:pPr>
              <w:spacing w:after="0"/>
            </w:pPr>
            <w:r>
              <w:rPr>
                <w:rFonts w:ascii="Arial" w:hAnsi="Arial"/>
                <w:b/>
                <w:color w:val="FFFFFF"/>
                <w:sz w:val="20"/>
              </w:rPr>
              <w:t>Notes</w:t>
            </w:r>
          </w:p>
        </w:tc>
      </w:tr>
      <w:tr>
        <w:tc>
          <w:tcPr>
            <w:tcW w:type="dxa" w:w="4176"/>
            <w:shd w:val="clear" w:color="auto" w:fill="EBF3FB"/>
          </w:tcPr>
          <w:p>
            <w:pPr>
              <w:spacing w:after="0"/>
            </w:pPr>
            <w:r>
              <w:rPr>
                <w:rFonts w:ascii="Arial" w:hAnsi="Arial"/>
                <w:sz w:val="19"/>
              </w:rPr>
              <w:t>Two-stage: ML churn + revenue</w:t>
            </w:r>
          </w:p>
        </w:tc>
        <w:tc>
          <w:tcPr>
            <w:tcW w:type="dxa" w:w="1224"/>
            <w:shd w:val="clear" w:color="auto" w:fill="EBF3FB"/>
          </w:tcPr>
          <w:p>
            <w:pPr>
              <w:spacing w:after="0"/>
            </w:pPr>
            <w:r>
              <w:rPr>
                <w:rFonts w:ascii="Arial" w:hAnsi="Arial"/>
                <w:sz w:val="19"/>
              </w:rPr>
              <w:t>62.65</w:t>
            </w:r>
          </w:p>
        </w:tc>
        <w:tc>
          <w:tcPr>
            <w:tcW w:type="dxa" w:w="1296"/>
            <w:shd w:val="clear" w:color="auto" w:fill="EBF3FB"/>
          </w:tcPr>
          <w:p>
            <w:pPr>
              <w:spacing w:after="0"/>
            </w:pPr>
            <w:r>
              <w:rPr>
                <w:rFonts w:ascii="Arial" w:hAnsi="Arial"/>
                <w:sz w:val="19"/>
              </w:rPr>
              <w:t>0.3964</w:t>
            </w:r>
          </w:p>
        </w:tc>
        <w:tc>
          <w:tcPr>
            <w:tcW w:type="dxa" w:w="3384"/>
            <w:shd w:val="clear" w:color="auto" w:fill="EBF3FB"/>
          </w:tcPr>
          <w:p>
            <w:pPr>
              <w:spacing w:after="0"/>
            </w:pPr>
            <w:r>
              <w:rPr>
                <w:rFonts w:ascii="Arial" w:hAnsi="Arial"/>
                <w:sz w:val="19"/>
              </w:rPr>
              <w:t>Baseline (section 2.1)</w:t>
            </w:r>
          </w:p>
        </w:tc>
      </w:tr>
      <w:tr>
        <w:tc>
          <w:tcPr>
            <w:tcW w:type="dxa" w:w="4176"/>
            <w:shd w:val="clear" w:color="auto" w:fill="FFFFFF"/>
          </w:tcPr>
          <w:p>
            <w:pPr>
              <w:spacing w:after="0"/>
            </w:pPr>
            <w:r>
              <w:rPr>
                <w:rFonts w:ascii="Arial" w:hAnsi="Arial"/>
                <w:sz w:val="19"/>
              </w:rPr>
              <w:t>+ Probability calibration</w:t>
            </w:r>
          </w:p>
        </w:tc>
        <w:tc>
          <w:tcPr>
            <w:tcW w:type="dxa" w:w="1224"/>
            <w:shd w:val="clear" w:color="auto" w:fill="FFFFFF"/>
          </w:tcPr>
          <w:p>
            <w:pPr>
              <w:spacing w:after="0"/>
            </w:pPr>
            <w:r>
              <w:rPr>
                <w:rFonts w:ascii="Arial" w:hAnsi="Arial"/>
                <w:sz w:val="19"/>
              </w:rPr>
              <w:t>62.50</w:t>
            </w:r>
          </w:p>
        </w:tc>
        <w:tc>
          <w:tcPr>
            <w:tcW w:type="dxa" w:w="1296"/>
            <w:shd w:val="clear" w:color="auto" w:fill="FFFFFF"/>
          </w:tcPr>
          <w:p>
            <w:pPr>
              <w:spacing w:after="0"/>
            </w:pPr>
            <w:r>
              <w:rPr>
                <w:rFonts w:ascii="Arial" w:hAnsi="Arial"/>
                <w:sz w:val="19"/>
              </w:rPr>
              <w:t>0.4002</w:t>
            </w:r>
          </w:p>
        </w:tc>
        <w:tc>
          <w:tcPr>
            <w:tcW w:type="dxa" w:w="3384"/>
            <w:shd w:val="clear" w:color="auto" w:fill="FFFFFF"/>
          </w:tcPr>
          <w:p>
            <w:pPr>
              <w:spacing w:after="0"/>
            </w:pPr>
            <w:r>
              <w:rPr>
                <w:rFonts w:ascii="Arial" w:hAnsi="Arial"/>
                <w:sz w:val="19"/>
              </w:rPr>
              <w:t>IsotonicRegression (2.2)</w:t>
            </w:r>
          </w:p>
        </w:tc>
      </w:tr>
      <w:tr>
        <w:tc>
          <w:tcPr>
            <w:tcW w:type="dxa" w:w="4176"/>
            <w:shd w:val="clear" w:color="auto" w:fill="EBF3FB"/>
          </w:tcPr>
          <w:p>
            <w:pPr>
              <w:spacing w:after="0"/>
            </w:pPr>
            <w:r>
              <w:rPr>
                <w:rFonts w:ascii="Arial" w:hAnsi="Arial"/>
                <w:sz w:val="19"/>
              </w:rPr>
              <w:t>Tweedie regression</w:t>
            </w:r>
          </w:p>
        </w:tc>
        <w:tc>
          <w:tcPr>
            <w:tcW w:type="dxa" w:w="1224"/>
            <w:shd w:val="clear" w:color="auto" w:fill="EBF3FB"/>
          </w:tcPr>
          <w:p>
            <w:pPr>
              <w:spacing w:after="0"/>
            </w:pPr>
            <w:r>
              <w:rPr>
                <w:rFonts w:ascii="Arial" w:hAnsi="Arial"/>
                <w:sz w:val="19"/>
              </w:rPr>
              <w:t>69.88</w:t>
            </w:r>
          </w:p>
        </w:tc>
        <w:tc>
          <w:tcPr>
            <w:tcW w:type="dxa" w:w="1296"/>
            <w:shd w:val="clear" w:color="auto" w:fill="EBF3FB"/>
          </w:tcPr>
          <w:p>
            <w:pPr>
              <w:spacing w:after="0"/>
            </w:pPr>
            <w:r>
              <w:rPr>
                <w:rFonts w:ascii="Arial" w:hAnsi="Arial"/>
                <w:sz w:val="19"/>
              </w:rPr>
              <w:t>—</w:t>
            </w:r>
          </w:p>
        </w:tc>
        <w:tc>
          <w:tcPr>
            <w:tcW w:type="dxa" w:w="3384"/>
            <w:shd w:val="clear" w:color="auto" w:fill="EBF3FB"/>
          </w:tcPr>
          <w:p>
            <w:pPr>
              <w:spacing w:after="0"/>
            </w:pPr>
            <w:r>
              <w:rPr>
                <w:rFonts w:ascii="Arial" w:hAnsi="Arial"/>
                <w:sz w:val="19"/>
              </w:rPr>
              <w:t>Discarded: never predicts 0 (2.3)</w:t>
            </w:r>
          </w:p>
        </w:tc>
      </w:tr>
      <w:tr>
        <w:tc>
          <w:tcPr>
            <w:tcW w:type="dxa" w:w="4176"/>
            <w:shd w:val="clear" w:color="auto" w:fill="FFFFFF"/>
          </w:tcPr>
          <w:p>
            <w:pPr>
              <w:spacing w:after="0"/>
            </w:pPr>
            <w:r>
              <w:rPr>
                <w:rFonts w:ascii="Arial" w:hAnsi="Arial"/>
                <w:sz w:val="19"/>
              </w:rPr>
              <w:t>Single-stage + 82 features (BG/NBD)</w:t>
            </w:r>
          </w:p>
        </w:tc>
        <w:tc>
          <w:tcPr>
            <w:tcW w:type="dxa" w:w="1224"/>
            <w:shd w:val="clear" w:color="auto" w:fill="FFFFFF"/>
          </w:tcPr>
          <w:p>
            <w:pPr>
              <w:spacing w:after="0"/>
            </w:pPr>
            <w:r>
              <w:rPr>
                <w:rFonts w:ascii="Arial" w:hAnsi="Arial"/>
                <w:sz w:val="19"/>
              </w:rPr>
              <w:t>~62.50</w:t>
            </w:r>
          </w:p>
        </w:tc>
        <w:tc>
          <w:tcPr>
            <w:tcW w:type="dxa" w:w="1296"/>
            <w:shd w:val="clear" w:color="auto" w:fill="FFFFFF"/>
          </w:tcPr>
          <w:p>
            <w:pPr>
              <w:spacing w:after="0"/>
            </w:pPr>
            <w:r>
              <w:rPr>
                <w:rFonts w:ascii="Arial" w:hAnsi="Arial"/>
                <w:sz w:val="19"/>
              </w:rPr>
              <w:t>~0.40</w:t>
            </w:r>
          </w:p>
        </w:tc>
        <w:tc>
          <w:tcPr>
            <w:tcW w:type="dxa" w:w="3384"/>
            <w:shd w:val="clear" w:color="auto" w:fill="FFFFFF"/>
          </w:tcPr>
          <w:p>
            <w:pPr>
              <w:spacing w:after="0"/>
            </w:pPr>
            <w:r>
              <w:rPr>
                <w:rFonts w:ascii="Arial" w:hAnsi="Arial"/>
                <w:sz w:val="19"/>
              </w:rPr>
              <w:t>BG/NBD features added (2.5–2.6)</w:t>
            </w:r>
          </w:p>
        </w:tc>
      </w:tr>
      <w:tr>
        <w:tc>
          <w:tcPr>
            <w:tcW w:type="dxa" w:w="4176"/>
            <w:shd w:val="clear" w:color="auto" w:fill="EBF3FB"/>
          </w:tcPr>
          <w:p>
            <w:pPr>
              <w:spacing w:after="0"/>
            </w:pPr>
            <w:r>
              <w:rPr>
                <w:rFonts w:ascii="Arial" w:hAnsi="Arial"/>
                <w:sz w:val="19"/>
              </w:rPr>
              <w:t>P_alive soft scaling</w:t>
            </w:r>
          </w:p>
        </w:tc>
        <w:tc>
          <w:tcPr>
            <w:tcW w:type="dxa" w:w="1224"/>
            <w:shd w:val="clear" w:color="auto" w:fill="EBF3FB"/>
          </w:tcPr>
          <w:p>
            <w:pPr>
              <w:spacing w:after="0"/>
            </w:pPr>
            <w:r>
              <w:rPr>
                <w:rFonts w:ascii="Arial" w:hAnsi="Arial"/>
                <w:sz w:val="19"/>
              </w:rPr>
              <w:t>worse</w:t>
            </w:r>
          </w:p>
        </w:tc>
        <w:tc>
          <w:tcPr>
            <w:tcW w:type="dxa" w:w="1296"/>
            <w:shd w:val="clear" w:color="auto" w:fill="EBF3FB"/>
          </w:tcPr>
          <w:p>
            <w:pPr>
              <w:spacing w:after="0"/>
            </w:pPr>
            <w:r>
              <w:rPr>
                <w:rFonts w:ascii="Arial" w:hAnsi="Arial"/>
                <w:sz w:val="19"/>
              </w:rPr>
              <w:t>—</w:t>
            </w:r>
          </w:p>
        </w:tc>
        <w:tc>
          <w:tcPr>
            <w:tcW w:type="dxa" w:w="3384"/>
            <w:shd w:val="clear" w:color="auto" w:fill="EBF3FB"/>
          </w:tcPr>
          <w:p>
            <w:pPr>
              <w:spacing w:after="0"/>
            </w:pPr>
            <w:r>
              <w:rPr>
                <w:rFonts w:ascii="Arial" w:hAnsi="Arial"/>
                <w:sz w:val="19"/>
              </w:rPr>
              <w:t>Discarded: p_alive already a feature (2.7)</w:t>
            </w:r>
          </w:p>
        </w:tc>
      </w:tr>
      <w:tr>
        <w:tc>
          <w:tcPr>
            <w:tcW w:type="dxa" w:w="4176"/>
            <w:shd w:val="clear" w:color="auto" w:fill="FFFFFF"/>
          </w:tcPr>
          <w:p>
            <w:pPr>
              <w:spacing w:after="0"/>
            </w:pPr>
            <w:r>
              <w:rPr>
                <w:rFonts w:ascii="Arial" w:hAnsi="Arial"/>
                <w:sz w:val="19"/>
              </w:rPr>
              <w:t>Optuna HPO — ML ensemble (90 features)</w:t>
            </w:r>
          </w:p>
        </w:tc>
        <w:tc>
          <w:tcPr>
            <w:tcW w:type="dxa" w:w="1224"/>
            <w:shd w:val="clear" w:color="auto" w:fill="FFFFFF"/>
          </w:tcPr>
          <w:p>
            <w:pPr>
              <w:spacing w:after="0"/>
            </w:pPr>
            <w:r>
              <w:rPr>
                <w:rFonts w:ascii="Arial" w:hAnsi="Arial"/>
                <w:sz w:val="19"/>
              </w:rPr>
              <w:t>62.37</w:t>
            </w:r>
          </w:p>
        </w:tc>
        <w:tc>
          <w:tcPr>
            <w:tcW w:type="dxa" w:w="1296"/>
            <w:shd w:val="clear" w:color="auto" w:fill="FFFFFF"/>
          </w:tcPr>
          <w:p>
            <w:pPr>
              <w:spacing w:after="0"/>
            </w:pPr>
            <w:r>
              <w:rPr>
                <w:rFonts w:ascii="Arial" w:hAnsi="Arial"/>
                <w:sz w:val="19"/>
              </w:rPr>
              <w:t>0.3706</w:t>
            </w:r>
          </w:p>
        </w:tc>
        <w:tc>
          <w:tcPr>
            <w:tcW w:type="dxa" w:w="3384"/>
            <w:shd w:val="clear" w:color="auto" w:fill="FFFFFF"/>
          </w:tcPr>
          <w:p>
            <w:pPr>
              <w:spacing w:after="0"/>
            </w:pPr>
            <w:r>
              <w:rPr>
                <w:rFonts w:ascii="Arial" w:hAnsi="Arial"/>
                <w:sz w:val="19"/>
              </w:rPr>
              <w:t>OOF MAE 62.42; all 3 algorithms converged (2.8)</w:t>
            </w:r>
          </w:p>
        </w:tc>
      </w:tr>
      <w:tr>
        <w:tc>
          <w:tcPr>
            <w:tcW w:type="dxa" w:w="4176"/>
            <w:shd w:val="clear" w:color="auto" w:fill="EBF3FB"/>
          </w:tcPr>
          <w:p>
            <w:pPr>
              <w:spacing w:after="0"/>
            </w:pPr>
            <w:r>
              <w:rPr>
                <w:rFonts w:ascii="Arial" w:hAnsi="Arial"/>
                <w:sz w:val="19"/>
              </w:rPr>
              <w:t>+ Kevin's EDA features (9 new)</w:t>
            </w:r>
          </w:p>
        </w:tc>
        <w:tc>
          <w:tcPr>
            <w:tcW w:type="dxa" w:w="1224"/>
            <w:shd w:val="clear" w:color="auto" w:fill="EBF3FB"/>
          </w:tcPr>
          <w:p>
            <w:pPr>
              <w:spacing w:after="0"/>
            </w:pPr>
            <w:r>
              <w:rPr>
                <w:rFonts w:ascii="Arial" w:hAnsi="Arial"/>
                <w:sz w:val="19"/>
              </w:rPr>
              <w:t>62.37</w:t>
            </w:r>
          </w:p>
        </w:tc>
        <w:tc>
          <w:tcPr>
            <w:tcW w:type="dxa" w:w="1296"/>
            <w:shd w:val="clear" w:color="auto" w:fill="EBF3FB"/>
          </w:tcPr>
          <w:p>
            <w:pPr>
              <w:spacing w:after="0"/>
            </w:pPr>
            <w:r>
              <w:rPr>
                <w:rFonts w:ascii="Arial" w:hAnsi="Arial"/>
                <w:sz w:val="19"/>
              </w:rPr>
              <w:t>0.3706</w:t>
            </w:r>
          </w:p>
        </w:tc>
        <w:tc>
          <w:tcPr>
            <w:tcW w:type="dxa" w:w="3384"/>
            <w:shd w:val="clear" w:color="auto" w:fill="EBF3FB"/>
          </w:tcPr>
          <w:p>
            <w:pPr>
              <w:spacing w:after="0"/>
            </w:pPr>
            <w:r>
              <w:rPr>
                <w:rFonts w:ascii="Arial" w:hAnsi="Arial"/>
                <w:sz w:val="19"/>
              </w:rPr>
              <w:t>−0.08 MAE; feature ceiling confirmed (2.9)</w:t>
            </w:r>
          </w:p>
        </w:tc>
      </w:tr>
      <w:tr>
        <w:tc>
          <w:tcPr>
            <w:tcW w:type="dxa" w:w="4176"/>
            <w:shd w:val="clear" w:color="auto" w:fill="FFFFFF"/>
          </w:tcPr>
          <w:p>
            <w:pPr>
              <w:spacing w:after="0"/>
            </w:pPr>
            <w:r>
              <w:rPr>
                <w:rFonts w:ascii="Arial" w:hAnsi="Arial"/>
                <w:sz w:val="19"/>
              </w:rPr>
              <w:t>Two-stage ML (clf × regressor)</w:t>
            </w:r>
          </w:p>
        </w:tc>
        <w:tc>
          <w:tcPr>
            <w:tcW w:type="dxa" w:w="1224"/>
            <w:shd w:val="clear" w:color="auto" w:fill="FFFFFF"/>
          </w:tcPr>
          <w:p>
            <w:pPr>
              <w:spacing w:after="0"/>
            </w:pPr>
            <w:r>
              <w:rPr>
                <w:rFonts w:ascii="Arial" w:hAnsi="Arial"/>
                <w:sz w:val="19"/>
              </w:rPr>
              <w:t>71.55</w:t>
            </w:r>
          </w:p>
        </w:tc>
        <w:tc>
          <w:tcPr>
            <w:tcW w:type="dxa" w:w="1296"/>
            <w:shd w:val="clear" w:color="auto" w:fill="FFFFFF"/>
          </w:tcPr>
          <w:p>
            <w:pPr>
              <w:spacing w:after="0"/>
            </w:pPr>
            <w:r>
              <w:rPr>
                <w:rFonts w:ascii="Arial" w:hAnsi="Arial"/>
                <w:sz w:val="19"/>
              </w:rPr>
              <w:t>0.4009</w:t>
            </w:r>
          </w:p>
        </w:tc>
        <w:tc>
          <w:tcPr>
            <w:tcW w:type="dxa" w:w="3384"/>
            <w:shd w:val="clear" w:color="auto" w:fill="FFFFFF"/>
          </w:tcPr>
          <w:p>
            <w:pPr>
              <w:spacing w:after="0"/>
            </w:pPr>
            <w:r>
              <w:rPr>
                <w:rFonts w:ascii="Arial" w:hAnsi="Arial"/>
                <w:sz w:val="19"/>
              </w:rPr>
              <w:t>Better Spearman; worse MAE (2.10)</w:t>
            </w:r>
          </w:p>
        </w:tc>
      </w:tr>
      <w:tr>
        <w:tc>
          <w:tcPr>
            <w:tcW w:type="dxa" w:w="4176"/>
            <w:shd w:val="clear" w:color="auto" w:fill="EBF3FB"/>
          </w:tcPr>
          <w:p>
            <w:pPr>
              <w:spacing w:after="0"/>
            </w:pPr>
            <w:r>
              <w:rPr>
                <w:rFonts w:ascii="Arial" w:hAnsi="Arial"/>
                <w:sz w:val="19"/>
              </w:rPr>
              <w:t>Two-stage + threshold (77€)</w:t>
            </w:r>
          </w:p>
        </w:tc>
        <w:tc>
          <w:tcPr>
            <w:tcW w:type="dxa" w:w="1224"/>
            <w:shd w:val="clear" w:color="auto" w:fill="EBF3FB"/>
          </w:tcPr>
          <w:p>
            <w:pPr>
              <w:spacing w:after="0"/>
            </w:pPr>
            <w:r>
              <w:rPr>
                <w:rFonts w:ascii="Arial" w:hAnsi="Arial"/>
                <w:sz w:val="19"/>
              </w:rPr>
              <w:t>62.92</w:t>
            </w:r>
          </w:p>
        </w:tc>
        <w:tc>
          <w:tcPr>
            <w:tcW w:type="dxa" w:w="1296"/>
            <w:shd w:val="clear" w:color="auto" w:fill="EBF3FB"/>
          </w:tcPr>
          <w:p>
            <w:pPr>
              <w:spacing w:after="0"/>
            </w:pPr>
            <w:r>
              <w:rPr>
                <w:rFonts w:ascii="Arial" w:hAnsi="Arial"/>
                <w:sz w:val="19"/>
              </w:rPr>
              <w:t>0.3937</w:t>
            </w:r>
          </w:p>
        </w:tc>
        <w:tc>
          <w:tcPr>
            <w:tcW w:type="dxa" w:w="3384"/>
            <w:shd w:val="clear" w:color="auto" w:fill="EBF3FB"/>
          </w:tcPr>
          <w:p>
            <w:pPr>
              <w:spacing w:after="0"/>
            </w:pPr>
            <w:r>
              <w:rPr>
                <w:rFonts w:ascii="Arial" w:hAnsi="Arial"/>
                <w:sz w:val="19"/>
              </w:rPr>
              <w:t>Discarded: ML ensemble still better (2.10)</w:t>
            </w:r>
          </w:p>
        </w:tc>
      </w:tr>
      <w:tr>
        <w:tc>
          <w:tcPr>
            <w:tcW w:type="dxa" w:w="4176"/>
            <w:shd w:val="clear" w:color="auto" w:fill="FFFFFF"/>
          </w:tcPr>
          <w:p>
            <w:pPr>
              <w:spacing w:after="0"/>
            </w:pPr>
            <w:r>
              <w:rPr>
                <w:rFonts w:ascii="Arial" w:hAnsi="Arial"/>
                <w:sz w:val="19"/>
              </w:rPr>
              <w:t>Two-stage × ML blend β=0.04  ← FINAL</w:t>
            </w:r>
          </w:p>
        </w:tc>
        <w:tc>
          <w:tcPr>
            <w:tcW w:type="dxa" w:w="1224"/>
            <w:shd w:val="clear" w:color="auto" w:fill="FFFFFF"/>
          </w:tcPr>
          <w:p>
            <w:pPr>
              <w:spacing w:after="0"/>
            </w:pPr>
            <w:r>
              <w:rPr>
                <w:rFonts w:ascii="Arial" w:hAnsi="Arial"/>
                <w:sz w:val="19"/>
              </w:rPr>
              <w:t>62.69</w:t>
            </w:r>
          </w:p>
        </w:tc>
        <w:tc>
          <w:tcPr>
            <w:tcW w:type="dxa" w:w="1296"/>
            <w:shd w:val="clear" w:color="auto" w:fill="FFFFFF"/>
          </w:tcPr>
          <w:p>
            <w:pPr>
              <w:spacing w:after="0"/>
            </w:pPr>
            <w:r>
              <w:rPr>
                <w:rFonts w:ascii="Arial" w:hAnsi="Arial"/>
                <w:sz w:val="19"/>
              </w:rPr>
              <w:t>0.4032</w:t>
            </w:r>
          </w:p>
        </w:tc>
        <w:tc>
          <w:tcPr>
            <w:tcW w:type="dxa" w:w="3384"/>
            <w:shd w:val="clear" w:color="auto" w:fill="FFFFFF"/>
          </w:tcPr>
          <w:p>
            <w:pPr>
              <w:spacing w:after="0"/>
            </w:pPr>
            <w:r>
              <w:rPr>
                <w:rFonts w:ascii="Arial" w:hAnsi="Arial"/>
                <w:sz w:val="19"/>
              </w:rPr>
              <w:t>0.007 below benchmark Spearman (2.11)</w:t>
            </w:r>
          </w:p>
        </w:tc>
      </w:tr>
      <w:tr>
        <w:tc>
          <w:tcPr>
            <w:tcW w:type="dxa" w:w="4176"/>
            <w:shd w:val="clear" w:color="auto" w:fill="EBF3FB"/>
          </w:tcPr>
          <w:p>
            <w:pPr>
              <w:spacing w:after="0"/>
            </w:pPr>
            <w:r>
              <w:rPr>
                <w:rFonts w:ascii="Arial" w:hAnsi="Arial"/>
                <w:sz w:val="19"/>
              </w:rPr>
              <w:t>Professor benchmark</w:t>
            </w:r>
          </w:p>
        </w:tc>
        <w:tc>
          <w:tcPr>
            <w:tcW w:type="dxa" w:w="1224"/>
            <w:shd w:val="clear" w:color="auto" w:fill="EBF3FB"/>
          </w:tcPr>
          <w:p>
            <w:pPr>
              <w:spacing w:after="0"/>
            </w:pPr>
            <w:r>
              <w:rPr>
                <w:rFonts w:ascii="Arial" w:hAnsi="Arial"/>
                <w:sz w:val="19"/>
              </w:rPr>
              <w:t>61.146</w:t>
            </w:r>
          </w:p>
        </w:tc>
        <w:tc>
          <w:tcPr>
            <w:tcW w:type="dxa" w:w="1296"/>
            <w:shd w:val="clear" w:color="auto" w:fill="EBF3FB"/>
          </w:tcPr>
          <w:p>
            <w:pPr>
              <w:spacing w:after="0"/>
            </w:pPr>
            <w:r>
              <w:rPr>
                <w:rFonts w:ascii="Arial" w:hAnsi="Arial"/>
                <w:sz w:val="19"/>
              </w:rPr>
              <w:t>0.41</w:t>
            </w:r>
          </w:p>
        </w:tc>
        <w:tc>
          <w:tcPr>
            <w:tcW w:type="dxa" w:w="3384"/>
            <w:shd w:val="clear" w:color="auto" w:fill="EBF3FB"/>
          </w:tcPr>
          <w:p>
            <w:pPr>
              <w:spacing w:after="0"/>
            </w:pPr>
            <w:r>
              <w:rPr>
                <w:rFonts w:ascii="Arial" w:hAnsi="Arial"/>
                <w:sz w:val="19"/>
              </w:rPr>
              <w:t>Target</w:t>
            </w:r>
          </w:p>
        </w:tc>
      </w:tr>
    </w:tbl>
    <w:p/>
    <w:p>
      <w:pPr>
        <w:pStyle w:val="Heading1"/>
        <w:spacing w:before="280" w:after="80"/>
      </w:pPr>
      <w:r>
        <w:t>4. Technical Challenges &amp; Fixes</w:t>
      </w:r>
    </w:p>
    <w:tbl>
      <w:tblPr>
        <w:tblStyle w:val="TableGrid"/>
        <w:tblW w:type="auto" w:w="0"/>
        <w:tblLook w:firstColumn="1" w:firstRow="1" w:lastColumn="0" w:lastRow="0" w:noHBand="0" w:noVBand="1" w:val="04A0"/>
      </w:tblPr>
      <w:tblGrid>
        <w:gridCol w:w="3135"/>
        <w:gridCol w:w="3135"/>
        <w:gridCol w:w="3135"/>
      </w:tblGrid>
      <w:tr>
        <w:tc>
          <w:tcPr>
            <w:tcW w:type="dxa" w:w="3168"/>
            <w:shd w:val="clear" w:color="auto" w:fill="1F497D"/>
          </w:tcPr>
          <w:p>
            <w:pPr>
              <w:spacing w:after="0"/>
            </w:pPr>
            <w:r>
              <w:rPr>
                <w:rFonts w:ascii="Arial" w:hAnsi="Arial"/>
                <w:b/>
                <w:color w:val="FFFFFF"/>
                <w:sz w:val="20"/>
              </w:rPr>
              <w:t>Problem</w:t>
            </w:r>
          </w:p>
        </w:tc>
        <w:tc>
          <w:tcPr>
            <w:tcW w:type="dxa" w:w="3168"/>
            <w:shd w:val="clear" w:color="auto" w:fill="1F497D"/>
          </w:tcPr>
          <w:p>
            <w:pPr>
              <w:spacing w:after="0"/>
            </w:pPr>
            <w:r>
              <w:rPr>
                <w:rFonts w:ascii="Arial" w:hAnsi="Arial"/>
                <w:b/>
                <w:color w:val="FFFFFF"/>
                <w:sz w:val="20"/>
              </w:rPr>
              <w:t>Cause</w:t>
            </w:r>
          </w:p>
        </w:tc>
        <w:tc>
          <w:tcPr>
            <w:tcW w:type="dxa" w:w="3744"/>
            <w:shd w:val="clear" w:color="auto" w:fill="1F497D"/>
          </w:tcPr>
          <w:p>
            <w:pPr>
              <w:spacing w:after="0"/>
            </w:pPr>
            <w:r>
              <w:rPr>
                <w:rFonts w:ascii="Arial" w:hAnsi="Arial"/>
                <w:b/>
                <w:color w:val="FFFFFF"/>
                <w:sz w:val="20"/>
              </w:rPr>
              <w:t>Fix</w:t>
            </w:r>
          </w:p>
        </w:tc>
      </w:tr>
      <w:tr>
        <w:tc>
          <w:tcPr>
            <w:tcW w:type="dxa" w:w="3168"/>
            <w:shd w:val="clear" w:color="auto" w:fill="EBF3FB"/>
          </w:tcPr>
          <w:p>
            <w:pPr>
              <w:spacing w:after="0"/>
            </w:pPr>
            <w:r>
              <w:rPr>
                <w:rFonts w:ascii="Arial" w:hAnsi="Arial"/>
                <w:sz w:val="19"/>
              </w:rPr>
              <w:t>CalibratedClassifierCV(cv='prefit') error</w:t>
            </w:r>
          </w:p>
        </w:tc>
        <w:tc>
          <w:tcPr>
            <w:tcW w:type="dxa" w:w="3168"/>
            <w:shd w:val="clear" w:color="auto" w:fill="EBF3FB"/>
          </w:tcPr>
          <w:p>
            <w:pPr>
              <w:spacing w:after="0"/>
            </w:pPr>
            <w:r>
              <w:rPr>
                <w:rFonts w:ascii="Arial" w:hAnsi="Arial"/>
                <w:sz w:val="19"/>
              </w:rPr>
              <w:t>Removed in newer scikit-learn</w:t>
            </w:r>
          </w:p>
        </w:tc>
        <w:tc>
          <w:tcPr>
            <w:tcW w:type="dxa" w:w="3744"/>
            <w:shd w:val="clear" w:color="auto" w:fill="EBF3FB"/>
          </w:tcPr>
          <w:p>
            <w:pPr>
              <w:spacing w:after="0"/>
            </w:pPr>
            <w:r>
              <w:rPr>
                <w:rFonts w:ascii="Arial" w:hAnsi="Arial"/>
                <w:sz w:val="19"/>
              </w:rPr>
              <w:t>IsotonicRegression fitted directly on calibration set</w:t>
            </w:r>
          </w:p>
        </w:tc>
      </w:tr>
      <w:tr>
        <w:tc>
          <w:tcPr>
            <w:tcW w:type="dxa" w:w="3168"/>
            <w:shd w:val="clear" w:color="auto" w:fill="FFFFFF"/>
          </w:tcPr>
          <w:p>
            <w:pPr>
              <w:spacing w:after="0"/>
            </w:pPr>
            <w:r>
              <w:rPr>
                <w:rFonts w:ascii="Arial" w:hAnsi="Arial"/>
                <w:sz w:val="19"/>
              </w:rPr>
              <w:t>lifetimes PicklingError on joblib.dump</w:t>
            </w:r>
          </w:p>
        </w:tc>
        <w:tc>
          <w:tcPr>
            <w:tcW w:type="dxa" w:w="3168"/>
            <w:shd w:val="clear" w:color="auto" w:fill="FFFFFF"/>
          </w:tcPr>
          <w:p>
            <w:pPr>
              <w:spacing w:after="0"/>
            </w:pPr>
            <w:r>
              <w:rPr>
                <w:rFonts w:ascii="Arial" w:hAnsi="Arial"/>
                <w:sz w:val="19"/>
              </w:rPr>
              <w:t>Local lambda (generate_new_data) in fitted model</w:t>
            </w:r>
          </w:p>
        </w:tc>
        <w:tc>
          <w:tcPr>
            <w:tcW w:type="dxa" w:w="3744"/>
            <w:shd w:val="clear" w:color="auto" w:fill="FFFFFF"/>
          </w:tcPr>
          <w:p>
            <w:pPr>
              <w:spacing w:after="0"/>
            </w:pPr>
            <w:r>
              <w:rPr>
                <w:rFonts w:ascii="Arial" w:hAnsi="Arial"/>
                <w:sz w:val="19"/>
              </w:rPr>
              <w:t>Pop attribute before dump, restore after</w:t>
            </w:r>
          </w:p>
        </w:tc>
      </w:tr>
      <w:tr>
        <w:tc>
          <w:tcPr>
            <w:tcW w:type="dxa" w:w="3168"/>
            <w:shd w:val="clear" w:color="auto" w:fill="EBF3FB"/>
          </w:tcPr>
          <w:p>
            <w:pPr>
              <w:spacing w:after="0"/>
            </w:pPr>
            <w:r>
              <w:rPr>
                <w:rFonts w:ascii="Arial" w:hAnsi="Arial"/>
                <w:sz w:val="19"/>
              </w:rPr>
              <w:t>SHAP shape mismatch with CatBoost</w:t>
            </w:r>
          </w:p>
        </w:tc>
        <w:tc>
          <w:tcPr>
            <w:tcW w:type="dxa" w:w="3168"/>
            <w:shd w:val="clear" w:color="auto" w:fill="EBF3FB"/>
          </w:tcPr>
          <w:p>
            <w:pPr>
              <w:spacing w:after="0"/>
            </w:pPr>
            <w:r>
              <w:rPr>
                <w:rFonts w:ascii="Arial" w:hAnsi="Arial"/>
                <w:sz w:val="19"/>
              </w:rPr>
              <w:t>CatBoost adds a bias column to SHAP output</w:t>
            </w:r>
          </w:p>
        </w:tc>
        <w:tc>
          <w:tcPr>
            <w:tcW w:type="dxa" w:w="3744"/>
            <w:shd w:val="clear" w:color="auto" w:fill="EBF3FB"/>
          </w:tcPr>
          <w:p>
            <w:pPr>
              <w:spacing w:after="0"/>
            </w:pPr>
            <w:r>
              <w:rPr>
                <w:rFonts w:ascii="Arial" w:hAnsi="Arial"/>
                <w:sz w:val="19"/>
              </w:rPr>
              <w:t>shap_values[:, :-1] to strip bias column</w:t>
            </w:r>
          </w:p>
        </w:tc>
      </w:tr>
      <w:tr>
        <w:tc>
          <w:tcPr>
            <w:tcW w:type="dxa" w:w="3168"/>
            <w:shd w:val="clear" w:color="auto" w:fill="FFFFFF"/>
          </w:tcPr>
          <w:p>
            <w:pPr>
              <w:spacing w:after="0"/>
            </w:pPr>
            <w:r>
              <w:rPr>
                <w:rFonts w:ascii="Arial" w:hAnsi="Arial"/>
                <w:sz w:val="19"/>
              </w:rPr>
              <w:t>X_val_ret undefined in notebook 06</w:t>
            </w:r>
          </w:p>
        </w:tc>
        <w:tc>
          <w:tcPr>
            <w:tcW w:type="dxa" w:w="3168"/>
            <w:shd w:val="clear" w:color="auto" w:fill="FFFFFF"/>
          </w:tcPr>
          <w:p>
            <w:pPr>
              <w:spacing w:after="0"/>
            </w:pPr>
            <w:r>
              <w:rPr>
                <w:rFonts w:ascii="Arial" w:hAnsi="Arial"/>
                <w:sz w:val="19"/>
              </w:rPr>
              <w:t>Variable renamed during refactor</w:t>
            </w:r>
          </w:p>
        </w:tc>
        <w:tc>
          <w:tcPr>
            <w:tcW w:type="dxa" w:w="3744"/>
            <w:shd w:val="clear" w:color="auto" w:fill="FFFFFF"/>
          </w:tcPr>
          <w:p>
            <w:pPr>
              <w:spacing w:after="0"/>
            </w:pPr>
            <w:r>
              <w:rPr>
                <w:rFonts w:ascii="Arial" w:hAnsi="Arial"/>
                <w:sz w:val="19"/>
              </w:rPr>
              <w:t>Replaced with X_shap throughout cells 7–9</w:t>
            </w:r>
          </w:p>
        </w:tc>
      </w:tr>
      <w:tr>
        <w:tc>
          <w:tcPr>
            <w:tcW w:type="dxa" w:w="3168"/>
            <w:shd w:val="clear" w:color="auto" w:fill="EBF3FB"/>
          </w:tcPr>
          <w:p>
            <w:pPr>
              <w:spacing w:after="0"/>
            </w:pPr>
            <w:r>
              <w:rPr>
                <w:rFonts w:ascii="Arial" w:hAnsi="Arial"/>
                <w:sz w:val="19"/>
              </w:rPr>
              <w:t>OSError: Too many levels of symbolic links</w:t>
            </w:r>
          </w:p>
        </w:tc>
        <w:tc>
          <w:tcPr>
            <w:tcW w:type="dxa" w:w="3168"/>
            <w:shd w:val="clear" w:color="auto" w:fill="EBF3FB"/>
          </w:tcPr>
          <w:p>
            <w:pPr>
              <w:spacing w:after="0"/>
            </w:pPr>
            <w:r>
              <w:rPr>
                <w:rFonts w:ascii="Arial" w:hAnsi="Arial"/>
                <w:sz w:val="19"/>
              </w:rPr>
              <w:t>data/, models/, submissions/ were git-tracked</w:t>
              <w:br/>
              <w:t>self-referential symlinks</w:t>
            </w:r>
          </w:p>
        </w:tc>
        <w:tc>
          <w:tcPr>
            <w:tcW w:type="dxa" w:w="3744"/>
            <w:shd w:val="clear" w:color="auto" w:fill="EBF3FB"/>
          </w:tcPr>
          <w:p>
            <w:pPr>
              <w:spacing w:after="0"/>
            </w:pPr>
            <w:r>
              <w:rPr>
                <w:rFonts w:ascii="Arial" w:hAnsi="Arial"/>
                <w:sz w:val="19"/>
              </w:rPr>
              <w:t>rm symlinks; mkdir -p data models submissions;</w:t>
              <w:br/>
              <w:t>re-add data files directly</w:t>
            </w:r>
          </w:p>
        </w:tc>
      </w:tr>
      <w:tr>
        <w:tc>
          <w:tcPr>
            <w:tcW w:type="dxa" w:w="3168"/>
            <w:shd w:val="clear" w:color="auto" w:fill="FFFFFF"/>
          </w:tcPr>
          <w:p>
            <w:pPr>
              <w:spacing w:after="0"/>
            </w:pPr>
            <w:r>
              <w:rPr>
                <w:rFonts w:ascii="Arial" w:hAnsi="Arial"/>
                <w:sz w:val="19"/>
              </w:rPr>
              <w:t>NameError: 'idx' not defined in notebook 06</w:t>
            </w:r>
          </w:p>
        </w:tc>
        <w:tc>
          <w:tcPr>
            <w:tcW w:type="dxa" w:w="3168"/>
            <w:shd w:val="clear" w:color="auto" w:fill="FFFFFF"/>
          </w:tcPr>
          <w:p>
            <w:pPr>
              <w:spacing w:after="0"/>
            </w:pPr>
            <w:r>
              <w:rPr>
                <w:rFonts w:ascii="Arial" w:hAnsi="Arial"/>
                <w:sz w:val="19"/>
              </w:rPr>
              <w:t>f-strings inside a list literal are evaluated</w:t>
              <w:br/>
              <w:t>when the list is built, before the for loop runs</w:t>
            </w:r>
          </w:p>
        </w:tc>
        <w:tc>
          <w:tcPr>
            <w:tcW w:type="dxa" w:w="3744"/>
            <w:shd w:val="clear" w:color="auto" w:fill="FFFFFF"/>
          </w:tcPr>
          <w:p>
            <w:pPr>
              <w:spacing w:after="0"/>
            </w:pPr>
            <w:r>
              <w:rPr>
                <w:rFonts w:ascii="Arial" w:hAnsi="Arial"/>
                <w:sz w:val="19"/>
              </w:rPr>
              <w:t>Moved the f-string title inside the loop body</w:t>
              <w:br/>
              <w:t>so idx is already assigned</w:t>
            </w:r>
          </w:p>
        </w:tc>
      </w:tr>
      <w:tr>
        <w:tc>
          <w:tcPr>
            <w:tcW w:type="dxa" w:w="3168"/>
            <w:shd w:val="clear" w:color="auto" w:fill="EBF3FB"/>
          </w:tcPr>
          <w:p>
            <w:pPr>
              <w:spacing w:after="0"/>
            </w:pPr>
            <w:r>
              <w:rPr>
                <w:rFonts w:ascii="Arial" w:hAnsi="Arial"/>
                <w:sz w:val="19"/>
              </w:rPr>
              <w:t>Notebook 06 reporting stale MAE/Spearman</w:t>
            </w:r>
          </w:p>
        </w:tc>
        <w:tc>
          <w:tcPr>
            <w:tcW w:type="dxa" w:w="3168"/>
            <w:shd w:val="clear" w:color="auto" w:fill="EBF3FB"/>
          </w:tcPr>
          <w:p>
            <w:pPr>
              <w:spacing w:after="0"/>
            </w:pPr>
            <w:r>
              <w:rPr>
                <w:rFonts w:ascii="Arial" w:hAnsi="Arial"/>
                <w:sz w:val="19"/>
              </w:rPr>
              <w:t>Error-analysis cell loaded USE_BLEND but not</w:t>
              <w:br/>
              <w:t>USE_TS_ML_BLEND or blend_beta</w:t>
            </w:r>
          </w:p>
        </w:tc>
        <w:tc>
          <w:tcPr>
            <w:tcW w:type="dxa" w:w="3744"/>
            <w:shd w:val="clear" w:color="auto" w:fill="EBF3FB"/>
          </w:tcPr>
          <w:p>
            <w:pPr>
              <w:spacing w:after="0"/>
            </w:pPr>
            <w:r>
              <w:rPr>
                <w:rFonts w:ascii="Arial" w:hAnsi="Arial"/>
                <w:sz w:val="19"/>
              </w:rPr>
              <w:t>Updated setup + error_residuals cells to load</w:t>
              <w:br/>
              <w:t>both flags and compute val_pred_ts_blend</w:t>
            </w:r>
          </w:p>
        </w:tc>
      </w:tr>
    </w:tbl>
    <w:p/>
    <w:p>
      <w:pPr>
        <w:pStyle w:val="Heading1"/>
        <w:spacing w:before="280" w:after="80"/>
      </w:pPr>
      <w:r>
        <w:t>5. Architecture &amp; Design Decisions</w:t>
      </w:r>
    </w:p>
    <w:p>
      <w:pPr>
        <w:spacing w:after="120"/>
      </w:pPr>
      <w:r>
        <w:rPr>
          <w:rFonts w:ascii="Arial" w:hAnsi="Arial"/>
          <w:b/>
          <w:sz w:val="21"/>
        </w:rPr>
        <w:t>Why log1p(revenue) as target?</w:t>
      </w:r>
      <w:r>
        <w:rPr>
          <w:rFonts w:ascii="Arial" w:hAnsi="Arial"/>
        </w:rPr>
        <w:t xml:space="preserve"> Why log1p(revenue) as target?</w:t>
      </w:r>
    </w:p>
    <w:p>
      <w:pPr>
        <w:spacing w:after="120"/>
      </w:pPr>
      <w:r>
        <w:rPr>
          <w:rFonts w:ascii="Arial" w:hAnsi="Arial"/>
          <w:sz w:val="21"/>
        </w:rPr>
        <w:t>Revenue is zero-inflated and right-skewed. log1p compresses the scale (€1000→6.9, €100→4.6, €0→0), reducing outlier influence and helping trees split evenly. The 0→0 mapping preserves the natural zero boundary.</w:t>
      </w:r>
    </w:p>
    <w:p>
      <w:pPr>
        <w:spacing w:after="120"/>
      </w:pPr>
      <w:r>
        <w:rPr>
          <w:rFonts w:ascii="Arial" w:hAnsi="Arial"/>
          <w:b/>
          <w:sz w:val="21"/>
        </w:rPr>
        <w:t>Why MAE loss?</w:t>
      </w:r>
      <w:r>
        <w:rPr>
          <w:rFonts w:ascii="Arial" w:hAnsi="Arial"/>
        </w:rPr>
        <w:t xml:space="preserve"> Why MAE loss?</w:t>
      </w:r>
    </w:p>
    <w:p>
      <w:pPr>
        <w:spacing w:after="120"/>
      </w:pPr>
      <w:r>
        <w:rPr>
          <w:rFonts w:ascii="Arial" w:hAnsi="Arial"/>
          <w:sz w:val="21"/>
        </w:rPr>
        <w:t>The competition evaluates on MAE. MAE loss (predicting the leaf median) directly aligns training and evaluation. RMSE would optimise the mean, overfitting to high-revenue outliers.</w:t>
      </w:r>
    </w:p>
    <w:p>
      <w:pPr>
        <w:spacing w:after="120"/>
      </w:pPr>
      <w:r>
        <w:rPr>
          <w:rFonts w:ascii="Arial" w:hAnsi="Arial"/>
          <w:b/>
          <w:sz w:val="21"/>
        </w:rPr>
        <w:t>Why weekly time units for BG/NBD?</w:t>
      </w:r>
      <w:r>
        <w:rPr>
          <w:rFonts w:ascii="Arial" w:hAnsi="Arial"/>
        </w:rPr>
        <w:t xml:space="preserve"> Why weekly time units for BG/NBD?</w:t>
      </w:r>
    </w:p>
    <w:p>
      <w:pPr>
        <w:spacing w:after="120"/>
      </w:pPr>
      <w:r>
        <w:rPr>
          <w:rFonts w:ascii="Arial" w:hAnsi="Arial"/>
          <w:sz w:val="21"/>
        </w:rPr>
        <w:t>BG/NBD assumes a Poisson purchase process. With daily units and customers buying only monthly/quarterly, parameter estimation becomes numerically unstable. Weeks strike the right balance.</w:t>
      </w:r>
    </w:p>
    <w:p>
      <w:pPr>
        <w:spacing w:after="120"/>
      </w:pPr>
      <w:r>
        <w:rPr>
          <w:rFonts w:ascii="Arial" w:hAnsi="Arial"/>
          <w:b/>
          <w:sz w:val="21"/>
        </w:rPr>
        <w:t>Why 5-fold OOF for ensemble weights?</w:t>
      </w:r>
      <w:r>
        <w:rPr>
          <w:rFonts w:ascii="Arial" w:hAnsi="Arial"/>
        </w:rPr>
        <w:t xml:space="preserve"> Why 5-fold OOF for ensemble weights?</w:t>
      </w:r>
    </w:p>
    <w:p>
      <w:pPr>
        <w:spacing w:after="120"/>
      </w:pPr>
      <w:r>
        <w:rPr>
          <w:rFonts w:ascii="Arial" w:hAnsi="Arial"/>
          <w:sz w:val="21"/>
        </w:rPr>
        <w:t>Using a held-out validation set to find weights risks overfitting that specific split. OOF covers all training customers and gives a less biased MAE estimate.</w:t>
      </w:r>
    </w:p>
    <w:p>
      <w:pPr>
        <w:spacing w:after="120"/>
      </w:pPr>
      <w:r>
        <w:rPr>
          <w:rFonts w:ascii="Arial" w:hAnsi="Arial"/>
          <w:b/>
          <w:sz w:val="21"/>
        </w:rPr>
        <w:t>Why Nelder-Mead with softmax?</w:t>
      </w:r>
      <w:r>
        <w:rPr>
          <w:rFonts w:ascii="Arial" w:hAnsi="Arial"/>
        </w:rPr>
        <w:t xml:space="preserve"> Why Nelder-Mead with softmax?</w:t>
      </w:r>
    </w:p>
    <w:p>
      <w:pPr>
        <w:spacing w:after="120"/>
      </w:pPr>
      <w:r>
        <w:rPr>
          <w:rFonts w:ascii="Arial" w:hAnsi="Arial"/>
          <w:sz w:val="21"/>
        </w:rPr>
        <w:t>Constrained optimisation (weights sum to 1, all positive) becomes unconstrained via softmax over logits. Nelder-Mead is derivative-free and robust to the non-smooth MAE objective.</w:t>
      </w:r>
    </w:p>
    <w:p>
      <w:pPr>
        <w:spacing w:after="120"/>
      </w:pPr>
      <w:r>
        <w:rPr>
          <w:rFonts w:ascii="Arial" w:hAnsi="Arial"/>
          <w:b/>
          <w:sz w:val="21"/>
        </w:rPr>
        <w:t>Why manually fix β=0.04 instead of the MAE-optimal β=0?</w:t>
      </w:r>
      <w:r>
        <w:rPr>
          <w:rFonts w:ascii="Arial" w:hAnsi="Arial"/>
        </w:rPr>
        <w:t xml:space="preserve"> Why manually fix β=0.04 instead of the MAE-optimal β=0?</w:t>
      </w:r>
    </w:p>
    <w:p>
      <w:pPr>
        <w:spacing w:after="120"/>
      </w:pPr>
      <w:r>
        <w:rPr>
          <w:rFonts w:ascii="Arial" w:hAnsi="Arial"/>
          <w:sz w:val="21"/>
        </w:rPr>
        <w:t>The competition has two metrics: MAE and Spearman. The optimizer finds β=0 because it minimises only MAE. The Spearman sweep reveals a sharp non-linear cliff: even 4% two-stage weight re-orders borderline customers (where Spearman sensitivity is highest) at almost no MAE cost. A β that Pareto-dominates on the combined objective space is the right choice when both metrics are evaluated.</w:t>
      </w:r>
    </w:p>
    <w:p>
      <w:pPr>
        <w:pStyle w:val="Heading1"/>
        <w:spacing w:before="280" w:after="80"/>
      </w:pPr>
      <w:r>
        <w:t>6. Notebook Structure</w:t>
      </w:r>
    </w:p>
    <w:tbl>
      <w:tblPr>
        <w:tblStyle w:val="TableGrid"/>
        <w:tblW w:type="auto" w:w="0"/>
        <w:tblLook w:firstColumn="1" w:firstRow="1" w:lastColumn="0" w:lastRow="0" w:noHBand="0" w:noVBand="1" w:val="04A0"/>
      </w:tblPr>
      <w:tblGrid>
        <w:gridCol w:w="4703"/>
        <w:gridCol w:w="4703"/>
      </w:tblGrid>
      <w:tr>
        <w:tc>
          <w:tcPr>
            <w:tcW w:type="dxa" w:w="4032"/>
            <w:shd w:val="clear" w:color="auto" w:fill="1F497D"/>
          </w:tcPr>
          <w:p>
            <w:pPr>
              <w:spacing w:after="0"/>
            </w:pPr>
            <w:r>
              <w:rPr>
                <w:rFonts w:ascii="Arial" w:hAnsi="Arial"/>
                <w:b/>
                <w:color w:val="FFFFFF"/>
                <w:sz w:val="20"/>
              </w:rPr>
              <w:t>Notebook</w:t>
            </w:r>
          </w:p>
        </w:tc>
        <w:tc>
          <w:tcPr>
            <w:tcW w:type="dxa" w:w="6048"/>
            <w:shd w:val="clear" w:color="auto" w:fill="1F497D"/>
          </w:tcPr>
          <w:p>
            <w:pPr>
              <w:spacing w:after="0"/>
            </w:pPr>
            <w:r>
              <w:rPr>
                <w:rFonts w:ascii="Arial" w:hAnsi="Arial"/>
                <w:b/>
                <w:color w:val="FFFFFF"/>
                <w:sz w:val="20"/>
              </w:rPr>
              <w:t>Purpose</w:t>
            </w:r>
          </w:p>
        </w:tc>
      </w:tr>
      <w:tr>
        <w:tc>
          <w:tcPr>
            <w:tcW w:type="dxa" w:w="4032"/>
            <w:shd w:val="clear" w:color="auto" w:fill="EBF3FB"/>
          </w:tcPr>
          <w:p>
            <w:pPr>
              <w:spacing w:after="0"/>
            </w:pPr>
            <w:r>
              <w:rPr>
                <w:rFonts w:ascii="Arial" w:hAnsi="Arial"/>
                <w:sz w:val="19"/>
              </w:rPr>
              <w:t>02_feature_engineering.ipynb</w:t>
            </w:r>
          </w:p>
        </w:tc>
        <w:tc>
          <w:tcPr>
            <w:tcW w:type="dxa" w:w="6048"/>
            <w:shd w:val="clear" w:color="auto" w:fill="EBF3FB"/>
          </w:tcPr>
          <w:p>
            <w:pPr>
              <w:spacing w:after="0"/>
            </w:pPr>
            <w:r>
              <w:rPr>
                <w:rFonts w:ascii="Arial" w:hAnsi="Arial"/>
                <w:sz w:val="19"/>
              </w:rPr>
              <w:t>RFM + quarterly + recency_normalized + target encoding + Kevin's 9 EDA features → customer_features_v2.csv (83 features)</w:t>
            </w:r>
          </w:p>
        </w:tc>
      </w:tr>
      <w:tr>
        <w:tc>
          <w:tcPr>
            <w:tcW w:type="dxa" w:w="4032"/>
            <w:shd w:val="clear" w:color="auto" w:fill="FFFFFF"/>
          </w:tcPr>
          <w:p>
            <w:pPr>
              <w:spacing w:after="0"/>
            </w:pPr>
            <w:r>
              <w:rPr>
                <w:rFonts w:ascii="Arial" w:hAnsi="Arial"/>
                <w:sz w:val="19"/>
              </w:rPr>
              <w:t>03_bgnbd_model.ipynb</w:t>
            </w:r>
          </w:p>
        </w:tc>
        <w:tc>
          <w:tcPr>
            <w:tcW w:type="dxa" w:w="6048"/>
            <w:shd w:val="clear" w:color="auto" w:fill="FFFFFF"/>
          </w:tcPr>
          <w:p>
            <w:pPr>
              <w:spacing w:after="0"/>
            </w:pPr>
            <w:r>
              <w:rPr>
                <w:rFonts w:ascii="Arial" w:hAnsi="Arial"/>
                <w:sz w:val="19"/>
              </w:rPr>
              <w:t>BG/NBD fit, p_alive extraction, merge → customer_features_v3.csv (90 features) + bgf/ggf models</w:t>
            </w:r>
          </w:p>
        </w:tc>
      </w:tr>
      <w:tr>
        <w:tc>
          <w:tcPr>
            <w:tcW w:type="dxa" w:w="4032"/>
            <w:shd w:val="clear" w:color="auto" w:fill="EBF3FB"/>
          </w:tcPr>
          <w:p>
            <w:pPr>
              <w:spacing w:after="0"/>
            </w:pPr>
            <w:r>
              <w:rPr>
                <w:rFonts w:ascii="Arial" w:hAnsi="Arial"/>
                <w:sz w:val="19"/>
              </w:rPr>
              <w:t>03_churn_model.ipynb</w:t>
            </w:r>
          </w:p>
        </w:tc>
        <w:tc>
          <w:tcPr>
            <w:tcW w:type="dxa" w:w="6048"/>
            <w:shd w:val="clear" w:color="auto" w:fill="EBF3FB"/>
          </w:tcPr>
          <w:p>
            <w:pPr>
              <w:spacing w:after="0"/>
            </w:pPr>
            <w:r>
              <w:rPr>
                <w:rFonts w:ascii="Arial" w:hAnsi="Arial"/>
                <w:sz w:val="19"/>
              </w:rPr>
              <w:t>Old ML churn classifier (kept for reference, not in active pipeline)</w:t>
            </w:r>
          </w:p>
        </w:tc>
      </w:tr>
      <w:tr>
        <w:tc>
          <w:tcPr>
            <w:tcW w:type="dxa" w:w="4032"/>
            <w:shd w:val="clear" w:color="auto" w:fill="FFFFFF"/>
          </w:tcPr>
          <w:p>
            <w:pPr>
              <w:spacing w:after="0"/>
            </w:pPr>
            <w:r>
              <w:rPr>
                <w:rFonts w:ascii="Arial" w:hAnsi="Arial"/>
                <w:sz w:val="19"/>
              </w:rPr>
              <w:t>04_revenue_model.ipynb</w:t>
            </w:r>
          </w:p>
        </w:tc>
        <w:tc>
          <w:tcPr>
            <w:tcW w:type="dxa" w:w="6048"/>
            <w:shd w:val="clear" w:color="auto" w:fill="FFFFFF"/>
          </w:tcPr>
          <w:p>
            <w:pPr>
              <w:spacing w:after="0"/>
            </w:pPr>
            <w:r>
              <w:rPr>
                <w:rFonts w:ascii="Arial" w:hAnsi="Arial"/>
                <w:sz w:val="19"/>
              </w:rPr>
              <w:t>Optuna HPO, 5-fold OOF, Nelder-Mead ensemble, soft scaling comparison, two-stage ML OOF, β sweep blend optimisation, retrain all models, save</w:t>
            </w:r>
          </w:p>
        </w:tc>
      </w:tr>
      <w:tr>
        <w:tc>
          <w:tcPr>
            <w:tcW w:type="dxa" w:w="4032"/>
            <w:shd w:val="clear" w:color="auto" w:fill="EBF3FB"/>
          </w:tcPr>
          <w:p>
            <w:pPr>
              <w:spacing w:after="0"/>
            </w:pPr>
            <w:r>
              <w:rPr>
                <w:rFonts w:ascii="Arial" w:hAnsi="Arial"/>
                <w:sz w:val="19"/>
              </w:rPr>
              <w:t>05_test_prediction.ipynb</w:t>
            </w:r>
          </w:p>
        </w:tc>
        <w:tc>
          <w:tcPr>
            <w:tcW w:type="dxa" w:w="6048"/>
            <w:shd w:val="clear" w:color="auto" w:fill="EBF3FB"/>
          </w:tcPr>
          <w:p>
            <w:pPr>
              <w:spacing w:after="0"/>
            </w:pPr>
            <w:r>
              <w:rPr>
                <w:rFonts w:ascii="Arial" w:hAnsi="Arial"/>
                <w:sz w:val="19"/>
              </w:rPr>
              <w:t>Load best models, apply β=0.04 blend strategy, predict test set → submission_v7_ts_ml_blend_b0.040.csv</w:t>
            </w:r>
          </w:p>
        </w:tc>
      </w:tr>
      <w:tr>
        <w:tc>
          <w:tcPr>
            <w:tcW w:type="dxa" w:w="4032"/>
            <w:shd w:val="clear" w:color="auto" w:fill="FFFFFF"/>
          </w:tcPr>
          <w:p>
            <w:pPr>
              <w:spacing w:after="0"/>
            </w:pPr>
            <w:r>
              <w:rPr>
                <w:rFonts w:ascii="Arial" w:hAnsi="Arial"/>
                <w:sz w:val="19"/>
              </w:rPr>
              <w:t>06_interpretability.ipynb</w:t>
            </w:r>
          </w:p>
        </w:tc>
        <w:tc>
          <w:tcPr>
            <w:tcW w:type="dxa" w:w="6048"/>
            <w:shd w:val="clear" w:color="auto" w:fill="FFFFFF"/>
          </w:tcPr>
          <w:p>
            <w:pPr>
              <w:spacing w:after="0"/>
            </w:pPr>
            <w:r>
              <w:rPr>
                <w:rFonts w:ascii="Arial" w:hAnsi="Arial"/>
                <w:sz w:val="19"/>
              </w:rPr>
              <w:t>SHAP beeswarm, p_alive dependence plot, quarterly importance, waterfall plots, error analysis (applies blend strategy)</w:t>
            </w:r>
          </w:p>
        </w:tc>
      </w:tr>
    </w:tbl>
    <w:p/>
    <w:p>
      <w:pPr>
        <w:pStyle w:val="Heading1"/>
        <w:spacing w:before="280" w:after="80"/>
      </w:pPr>
      <w:r>
        <w:t>7. Key Lessons Learned</w:t>
      </w:r>
    </w:p>
    <w:p>
      <w:pPr>
        <w:spacing w:after="120"/>
      </w:pPr>
      <w:r>
        <w:rPr>
          <w:rFonts w:ascii="Arial" w:hAnsi="Arial"/>
          <w:b/>
          <w:sz w:val="21"/>
        </w:rPr>
        <w:t xml:space="preserve">1.  Architecture bottleneck vs feature bottleneck: </w:t>
      </w:r>
      <w:r>
        <w:rPr>
          <w:rFonts w:ascii="Arial" w:hAnsi="Arial"/>
          <w:sz w:val="21"/>
        </w:rPr>
        <w:t>The arms problem is not caused by two-stage vs single-stage — it is caused by inherent overlap between churner and returner feature distributions. No architecture can cleanly separate what the data cannot.</w:t>
      </w:r>
    </w:p>
    <w:p>
      <w:pPr>
        <w:spacing w:after="120"/>
      </w:pPr>
      <w:r>
        <w:rPr>
          <w:rFonts w:ascii="Arial" w:hAnsi="Arial"/>
          <w:b/>
          <w:sz w:val="21"/>
        </w:rPr>
        <w:t xml:space="preserve">2.  Calibration ≠ discrimination: </w:t>
      </w:r>
      <w:r>
        <w:rPr>
          <w:rFonts w:ascii="Arial" w:hAnsi="Arial"/>
          <w:sz w:val="21"/>
        </w:rPr>
        <w:t>Isotonic calibration improved log loss but not AUC or MAE, because it only rescales probabilities monotonically.</w:t>
      </w:r>
    </w:p>
    <w:p>
      <w:pPr>
        <w:spacing w:after="120"/>
      </w:pPr>
      <w:r>
        <w:rPr>
          <w:rFonts w:ascii="Arial" w:hAnsi="Arial"/>
          <w:b/>
          <w:sz w:val="21"/>
        </w:rPr>
        <w:t xml:space="preserve">3.  Soft scaling can hurt when the signal is already embedded: </w:t>
      </w:r>
      <w:r>
        <w:rPr>
          <w:rFonts w:ascii="Arial" w:hAnsi="Arial"/>
          <w:sz w:val="21"/>
        </w:rPr>
        <w:t>p_alive was already a feature. Multiplying by it again added distortion rather than signal.</w:t>
      </w:r>
    </w:p>
    <w:p>
      <w:pPr>
        <w:spacing w:after="120"/>
      </w:pPr>
      <w:r>
        <w:rPr>
          <w:rFonts w:ascii="Arial" w:hAnsi="Arial"/>
          <w:b/>
          <w:sz w:val="21"/>
        </w:rPr>
        <w:t xml:space="preserve">4.  BG/NBD is best as a feature, not a replacement: </w:t>
      </w:r>
      <w:r>
        <w:rPr>
          <w:rFonts w:ascii="Arial" w:hAnsi="Arial"/>
          <w:sz w:val="21"/>
        </w:rPr>
        <w:t>The probabilistic model provides valuable p_alive and CLV estimates that tree models can use contextually. Using BG/NBD alone loses the 74+ engineered features. BG/NBD blend alpha optimised to 0.0, confirming the ML ensemble fully subsumes it.</w:t>
      </w:r>
    </w:p>
    <w:p>
      <w:pPr>
        <w:spacing w:after="120"/>
      </w:pPr>
      <w:r>
        <w:rPr>
          <w:rFonts w:ascii="Arial" w:hAnsi="Arial"/>
          <w:b/>
          <w:sz w:val="21"/>
        </w:rPr>
        <w:t xml:space="preserve">5.  MAE in log-space ≠ MAE in original space: </w:t>
      </w:r>
      <w:r>
        <w:rPr>
          <w:rFonts w:ascii="Arial" w:hAnsi="Arial"/>
          <w:sz w:val="21"/>
        </w:rPr>
        <w:t>Training on log1p(revenue) with MAE loss minimises median log1p error, which approximately minimises original-space MAE. Far better than raw revenue (where leaf medians are mostly 0).</w:t>
      </w:r>
    </w:p>
    <w:p>
      <w:pPr>
        <w:spacing w:after="120"/>
      </w:pPr>
      <w:r>
        <w:rPr>
          <w:rFonts w:ascii="Arial" w:hAnsi="Arial"/>
          <w:b/>
          <w:sz w:val="21"/>
        </w:rPr>
        <w:t xml:space="preserve">6.  RandomizedSearchCV is insufficient for 8+ interacting hyperparameters: </w:t>
      </w:r>
      <w:r>
        <w:rPr>
          <w:rFonts w:ascii="Arial" w:hAnsi="Arial"/>
          <w:sz w:val="21"/>
        </w:rPr>
        <w:t>40 random trials cover a tiny fraction of a high-dimensional space. Optuna TPE makes each trial informative for the next.</w:t>
      </w:r>
    </w:p>
    <w:p>
      <w:pPr>
        <w:spacing w:after="120"/>
      </w:pPr>
      <w:r>
        <w:rPr>
          <w:rFonts w:ascii="Arial" w:hAnsi="Arial"/>
          <w:b/>
          <w:sz w:val="21"/>
        </w:rPr>
        <w:t xml:space="preserve">7.  Algorithm convergence is a ceiling signal: </w:t>
      </w:r>
      <w:r>
        <w:rPr>
          <w:rFonts w:ascii="Arial" w:hAnsi="Arial"/>
          <w:sz w:val="21"/>
        </w:rPr>
        <w:t>When LightGBM, XGBoost, and CatBoost all return the same OOF MAE after independent Optuna searches, further tuning will not help — the bottleneck is the feature space, not the model. The right response is an architectural change, not more trials.</w:t>
      </w:r>
    </w:p>
    <w:p>
      <w:pPr>
        <w:spacing w:after="120"/>
      </w:pPr>
      <w:r>
        <w:rPr>
          <w:rFonts w:ascii="Arial" w:hAnsi="Arial"/>
          <w:b/>
          <w:sz w:val="21"/>
        </w:rPr>
        <w:t xml:space="preserve">8.  OOF integration is critical for honest two-stage evaluation: </w:t>
      </w:r>
      <w:r>
        <w:rPr>
          <w:rFonts w:ascii="Arial" w:hAnsi="Arial"/>
          <w:sz w:val="21"/>
        </w:rPr>
        <w:t>The original two-stage used separate train/val splits for the classifier and regressor, so the combined P × revenue MAE was never properly measured. Only by running both stages inside the same OOF fold can the combined prediction be compared apples-to-apples against a single-stage baseline.</w:t>
      </w:r>
    </w:p>
    <w:p>
      <w:pPr>
        <w:spacing w:after="120"/>
      </w:pPr>
      <w:r>
        <w:rPr>
          <w:rFonts w:ascii="Arial" w:hAnsi="Arial"/>
          <w:b/>
          <w:sz w:val="21"/>
        </w:rPr>
        <w:t xml:space="preserve">9.  MAE-optimal ≠ jointly optimal when two metrics are evaluated: </w:t>
      </w:r>
      <w:r>
        <w:rPr>
          <w:rFonts w:ascii="Arial" w:hAnsi="Arial"/>
          <w:sz w:val="21"/>
        </w:rPr>
        <w:t>Optimising β solely for MAE finds β=0 (pure ML ensemble). The Spearman sweep reveals a sharp non-linear cliff at β=0.04: Spearman jumps +0.023 at almost no MAE cost. When both MAE and Spearman are evaluated, the single-metric optimum is not the right choice.</w:t>
      </w:r>
    </w:p>
    <w:p>
      <w:pPr>
        <w:spacing w:after="120"/>
      </w:pPr>
      <w:r>
        <w:rPr>
          <w:rFonts w:ascii="Arial" w:hAnsi="Arial"/>
          <w:b/>
          <w:sz w:val="21"/>
        </w:rPr>
        <w:t xml:space="preserve">10.  OOF Spearman ≠ val Spearman — but the direction is consistent: </w:t>
      </w:r>
      <w:r>
        <w:rPr>
          <w:rFonts w:ascii="Arial" w:hAnsi="Arial"/>
          <w:sz w:val="21"/>
        </w:rPr>
        <w:t>OOF Spearman for the pure ML ensemble was 0.3784; on the held-out val set it was 0.3706. The gap (~0.008) is expected — OOF covers 93k training customers while the val set covers 23k held-out customers. The blend improvement (+0.033 Spearman on val) matched the OOF prediction direction, confirming the sweep chart was reliable.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