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2026-09-29.</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still sits unapplied in stash@{0}.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2,278 passed / 15 skipped on main plus 13 browser tests;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7,909 tests across 326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w:t>
      </w:r>
      <w:r>
        <w:rPr>
          <w:b/>
        </w:rPr>
      </w:r>
      <w:r>
        <w:t xml:space="preserve">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GRAPH-RECONCILE reached 141 recurrences.</w:t>
      </w:r>
      <w:r>
        <w:rPr>
          <w:b/>
        </w:rPr>
      </w:r>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no git remote)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(~85 commits overnight 09-28/29 — inventory and assignments, readings with estimates and corrections, application-managed identity with MFA, and monthly reporting with fee credits and immutable report runs) sits on branch worktree-ums-phase-1 in a locked Claude Code worktree, unmerged.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