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2026-09-29.</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branch fix/return-air-camelcase (one unpushed commit classifying camelCase ReturnAirTemp, 339 tests collected), while niagara-llm's release manifest pins f944f82. A pre-existing HistoryImport draft still sits unapplied in stash@{0}. 323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on branch fix/fpt-first-write-restore (unpushed) stops a failing audit sink from hiding an actuator write that already landed. </w:t>
      </w:r>
      <w:r>
        <w:rPr>
          <w:b/>
        </w:rPr>
        <w:t>Phase 7 Mold Risk Index</w:t>
      </w:r>
      <w:r>
        <w:t xml:space="preserve"> (spec Phases 6–8) was built the same night on branch polk-mold-risk-index in the ~/dev/niagara-llm-mold-risk-index worktree,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2,272 passed / 15 skipped on main plus 13 browser tests;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7,909 tests across 326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w:t>
      </w:r>
      <w:r>
        <w:rPr>
          <w:b/>
        </w:rPr>
      </w:r>
      <w:r>
        <w:t xml:space="preserve">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GRAPH-RECONCILE reached 141 recurrences.</w:t>
      </w:r>
      <w:r>
        <w:rPr>
          <w:b/>
        </w:rPr>
      </w:r>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no git remote)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(~85 commits overnight 09-28/29 — inventory and assignments, readings with estimates and corrections, application-managed identity with MFA, and monthly reporting with fee credits and immutable report runs) sits on branch worktree-ums-phase-1 in a locked Claude Code worktree, unmerged.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