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2026-08-12</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~4,733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worked around 2026-08-11, root cause still open. The macOS File Provider remounted the SpectrumSolutionsInc SharePoint library on 2026-08-10, leaving four mount points instead of two; the canonical one every RFP_PROJECT_ROOTS path targeted lost the UMCS and MRR libraries. Because discover_configured_projects skips a missing root silently, the live dashboard registry collapsed from 230 projects to 1 and was rewritten that way every poll — which stuck a real amendment on an active bid in needs_review behind a nonsense candidate, with the operator’s manual-merge path blocked too because the merge resolver reads the same degraded list. The operator repointed RFP_PROJECT_ROOTS at the fully-synced “SpectrumSolutionsInc 2” duplicate mount and discovery returned to 232 projects with no data lost, but the canonical mount is still collapsed on disk and the File-Provider cause is still unexplained, so a .env revert or a stalled duplicate mount reintroduces it. Two hardening candidates remain queued for review, not auto-application: log the silent missing-root skip, and refuse to let one bad poll overwrite a much larger prior project count. The structural answer is the nine-slice Graph Files API migration started 2026-08-11 (.plans/graph-migration/), which replaces the local OneDrive sync client with direct Graph reads/writes over a /delta-refreshed local cache mirror: slices 01–04 complete, 05–08 wired for deliverable and ingestion write-through, dashboard serving, and Graph-aware process_project() reads, all behind a fail-closed site+drive allow-list, If-Match on simple-PUT overwrites — the chunked path above the 10 MiB ceiling can only set conflictBehavior and is documented as advisory-safe rather than conflict-proof — and a crash-safe outbox. It stays inert until an operator lists a root in RFP_GRAPH_BACKEND_ROOTS (unset in the live .env) and restarts the services; slice 09 — rollout to UMCS V / MRR VII and deletion of the OneDrive-workaround code — is blocked on the pilot soak, and the 4th SharePoint site hosting RFP_STAGING_ROOT is still unresolved via Graph.</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§13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A pilot cost proposal draft to PNNL prices the two phases;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