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2026-10-04</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8,315 (rfp-automation, current working tree).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though on 10-04 a staged reversal of that commit sits in the index, so the live browser is still system Chrome — and kept self-healing Graph site-sync failures in the missing-docs sweep at warn level, after one DNS outage produced 165+ error-level lines. GRAPH-RECONCILE reached 165 recurrences; live state 10-04 is /healthz ok with 281 projects. Uncommitted in the working tree on 10-04: a cyber bid-and-growth workflow (shared pursuit records feeding a contact queue, prime coverage and an award-performance report) and GovWin discovery review with automatic intake for clearly qualified FRCS cyber opportunities.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