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2026-10-04.</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8,315 tests across 348 files (current working tree, including uncommitted work)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w:t>
      </w:r>
      <w:r>
        <w:t xml:space="preserve">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10-02/03 added two code commits. The Planner comment browser now runs Playwright's Chrome for Testing on its own profile instead of the system Google Chrome and refuses to fall back, so SENTRY's automation windows are a separate app from the operator's own Chrome (81000f2) — but on 10-04 the index holds a staged reversal of all four of that commit's files, so planner_ui_chrome.sh on disk is the system-Chrome version, the live :9222 browser is system Chrome, and committing the index as-is would undo the fix.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Uncommitted in the working tree on 10-04 (68 paths including that staged reversal, not yet pushed): two 2026-10-01 designs and their implementation — a cyber bid-and-growth workflow (one shared pursuit record per project and prime, feeding a contact queue, prime coverage and an award-performance report on the existing Bids &amp; Follow-ups and Primes pages; spec marked approved and implemented) and GovWin discovery review with automatic project intake for clearly qualified FRCS cyber opportunities (spec still marked proposed), plus GovWin award and prime-link modules and two launchd installers. Live state 10-04: /healthz ok, 281 projects, runtime current on 171064e. 8,315 tests collected across 348 files in that working tree on 10-04 (8,285 across 345 on 10-02; 8,125 across 333 on 10-01; most of the increase is the uncommitted work's new test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