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2026-09-01.</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5,320 tests across 279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Live state as of 2026-09-01: /healthz returns ok on every check including graph_indexes (nothing syncing or unreadable), monitor_payload reports </w:t>
      </w:r>
      <w:r>
        <w:rPr>
          <w:b/>
        </w:rPr>
        <w:t>253 projects</w:t>
      </w:r>
      <w:r>
        <w:t>, runtime is current with stale_code false, project_roots is 0 configured / 0 unavailable (the post-migration normal), state_integrity is 3 checked / 0 invalid, and transport_security's plain-HTTP LAN warning is the only non-clean signal. 5,320 tests collected across 279 files (up 8 from the cover-review fix's new cases) — but only with account_store on PYTHONPATH, which is how this project binds that dependency; without it two auth test modules fail to import and the count reads short. The delta over the pushed tree is the still-uncommitted pricing/artifact-consistency work (including a graph_cache.py change and its test), plus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