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p>
    <w:p>
      <w:pPr>
        <w:spacing w:after="160"/>
        <w:jc w:val="center"/>
      </w:pPr>
      <w:r>
        <w:rPr>
          <w:rFonts w:ascii="Arial" w:cs="Arial" w:eastAsia="Arial" w:hAnsi="Arial"/>
          <w:b/>
          <w:bCs/>
          <w:color w:val="1F4E79"/>
          <w:sz w:val="56"/>
          <w:szCs w:val="56"/>
        </w:rPr>
        <w:t xml:space="preserve">Dev Portfolio</w:t>
      </w:r>
    </w:p>
    <w:p>
      <w:pPr>
        <w:spacing w:after="80"/>
        <w:jc w:val="center"/>
      </w:pPr>
      <w:r>
        <w:rPr>
          <w:rFonts w:ascii="Arial" w:cs="Arial" w:eastAsia="Arial" w:hAnsi="Arial"/>
          <w:color w:val="2E75B6"/>
          <w:sz w:val="32"/>
          <w:szCs w:val="32"/>
        </w:rPr>
        <w:t xml:space="preserve">Architecture &amp; Design Overview</w:t>
      </w:r>
    </w:p>
    <w:p>
      <w:pPr>
        <w:spacing w:after="600"/>
        <w:jc w:val="center"/>
      </w:pPr>
      <w:r>
        <w:rPr>
          <w:rFonts w:ascii="Arial" w:cs="Arial" w:eastAsia="Arial" w:hAnsi="Arial"/>
          <w:i/>
          <w:iCs/>
          <w:color w:val="666666"/>
          <w:sz w:val="22"/>
          <w:szCs w:val="22"/>
        </w:rPr>
        <w:t>Generated 2026-08-18</w:t>
      </w:r>
    </w:p>
    <w:p>
      <w:pPr>
        <w:pBdr>
          <w:bottom w:val="single" w:color="2E75B6" w:sz="6" w:space="1"/>
        </w:pBdr>
        <w:spacing w:after="160" w:before="160"/>
      </w:pPr>
    </w:p>
    <w:p>
      <w:pPr>
        <w:spacing w:before="200"/>
      </w:pPr>
    </w:p>
    <w:p>
      <w:pPr>
        <w:spacing w:after="120" w:before="60"/>
      </w:pPr>
      <w:r>
        <w:rPr>
          <w:rFonts w:ascii="Arial" w:cs="Arial" w:eastAsia="Arial" w:hAnsi="Arial"/>
          <w:color w:val="1A1A1A"/>
          <w:sz w:val="22"/>
          <w:szCs w:val="22"/>
        </w:rPr>
        <w:t>This document provides a structured architecture and design overview of all 31 projects in the dev workspace. It covers project categorization, inter-project dependencies, shared libraries, common technology patterns, data-flow pipelines, and a forward-looking roadmap. Note that as of 2026-08-05 the projects themselves live under ~/dev/, not alongside this document in ~/Documents/dev/ — that tree is iCloud-synced and the sub-projects were relocated off it. The one exception is floor-plan-editor, which is in the registry but has no directory under ~/dev/ at all.</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1. Portfolio Map</w:t>
      </w:r>
    </w:p>
    <w:p>
      <w:pPr>
        <w:spacing w:after="120" w:before="60"/>
      </w:pPr>
      <w:r>
        <w:rPr>
          <w:rFonts w:ascii="Arial" w:cs="Arial" w:eastAsia="Arial" w:hAnsi="Arial"/>
          <w:color w:val="1A1A1A"/>
          <w:sz w:val="22"/>
          <w:szCs w:val="22"/>
        </w:rPr>
        <w:t>The 31 projects fall into six categories. Production systems share common libraries and interact via file-based or API integration patterns.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Category</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Projects</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Count</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Maturity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Proposal Automation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cyber-artifact-gen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2</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Utility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SSi Productivity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past-performance, project-tracking, project-monitor, cyber-brain, project-creation, daily-summary, outlook-followup, fulcrum-replacement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 / v1–v2 / Design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 / OT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ethernet-link-analyzer, virtual-devices, digital-twin, niagara-llm, siem-forwarder, pocket-probe, prtg-import, kml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v1–v2 / Proto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Platform / Shared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account-store, niagara-config, ssi-design-system, cert-manager, claude-sync, claude-memory-compiler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Lib / v0–v1</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Standalone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sanguine, scribe, floor-plan-editor</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v1 / v0.1 / missing on this Mac</w:t>
            </w:r>
          </w:p>
        </w:tc>
      </w:tr>
      <w:tr>
        <w:tc>
          <w:tcPr>
            <w:tcW w:type="dxa" w:w="2200"/>
          </w:tcPr>
          <w:p>
            <w:r>
              <w:t>Reference</w:t>
            </w:r>
          </w:p>
        </w:tc>
        <w:tc>
          <w:tcPr>
            <w:tcW w:type="dxa" w:w="4360"/>
          </w:tcPr>
          <w:p>
            <w:r>
              <w:t>niagara-docs, scripts</w:t>
            </w:r>
          </w:p>
        </w:tc>
        <w:tc>
          <w:tcPr>
            <w:tcW w:type="dxa" w:w="1400"/>
          </w:tcPr>
          <w:p>
            <w:r>
              <w:t>2</w:t>
            </w:r>
          </w:p>
        </w:tc>
        <w:tc>
          <w:tcPr>
            <w:tcW w:type="dxa" w:w="1400"/>
          </w:tcPr>
          <w:p>
            <w:r>
              <w:t>Stub / Active</w:t>
            </w:r>
          </w:p>
        </w:tc>
      </w:tr>
    </w:tbl>
    <w:p>
      <w:pPr>
        <w:spacing w:before="20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2. Shared Libraries &amp; Foundations</w:t>
      </w:r>
    </w:p>
    <w:p>
      <w:pPr>
        <w:pStyle w:val="Heading2"/>
        <w:spacing w:after="120" w:before="280"/>
      </w:pPr>
      <w:r>
        <w:rPr>
          <w:rFonts w:ascii="Arial" w:cs="Arial" w:eastAsia="Arial" w:hAnsi="Arial"/>
          <w:b/>
          <w:bCs/>
          <w:color w:val="2E75B6"/>
          <w:sz w:val="26"/>
          <w:szCs w:val="26"/>
        </w:rPr>
        <w:t xml:space="preserve">2.1 account-store</w:t>
      </w:r>
    </w:p>
    <w:p>
      <w:pPr>
        <w:spacing w:after="120" w:before="60"/>
      </w:pPr>
      <w:r>
        <w:rPr>
          <w:rFonts w:ascii="Arial" w:cs="Arial" w:eastAsia="Arial" w:hAnsi="Arial"/>
          <w:color w:val="1A1A1A"/>
          <w:sz w:val="22"/>
          <w:szCs w:val="22"/>
        </w:rPr>
        <w:t>Pip-installable Python library providing local user account management with pbkdf2_sha256 password hashing, role-based access (admin/reviewer/viewer), and JSON-backed storage. Extracted from rfp-automation so all multi-user apps draw from the same auth model. It is the portfolio's most widely shared dependency.</w:t>
      </w:r>
    </w:p>
    <w:p>
      <w:pPr>
        <w:spacing w:after="120" w:before="60"/>
      </w:pPr>
      <w:r>
        <w:rPr>
          <w:rFonts w:ascii="Arial" w:cs="Arial" w:eastAsia="Arial" w:hAnsi="Arial"/>
          <w:b/>
          <w:bCs/>
          <w:color w:val="1A1A1A"/>
          <w:sz w:val="22"/>
          <w:szCs w:val="22"/>
        </w:rPr>
        <w:t>Consumers (8): rfp-automation, project-tracking, email-processor, past-performance, project-monitor, cert-manager, project-creation, digital-twin (twin/auth.py).</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Interface: pip install; configure(state_dir=...) then add_user/authenticate/get/list/delete. Caveat: consumers bind this library five different ways — absolute path in pyproject.toml, editable install, a direct site-packages symlink, a bare PYTHONPATH, and a tool.uv.sources relative path. None of them survive the library moving without an actual reinstall, because uv/setuptools bake the resolved absolute path into the installed finder at install time.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 xml:space="preserve">2.2 ssi-design-system</w:t>
      </w:r>
    </w:p>
    <w:p>
      <w:pPr>
        <w:spacing w:after="120" w:before="60"/>
      </w:pPr>
      <w:r>
        <w:rPr>
          <w:rFonts w:ascii="Arial" w:cs="Arial" w:eastAsia="Arial" w:hAnsi="Arial"/>
          <w:color w:val="1A1A1A"/>
          <w:sz w:val="22"/>
          <w:szCs w:val="22"/>
        </w:rPr>
        <w:t xml:space="preserve">Single source of truth for SSi brand tokens — colors, typography, spacing, radii, shadows — distributed as JSON tokens and CSS custom properties. Python brand.py generates openpyxl and python-docx style maps so document output is visually consistent with the web UI.</w:t>
      </w:r>
    </w:p>
    <w:p>
      <w:pPr>
        <w:spacing w:after="120" w:before="60"/>
      </w:pPr>
      <w:r>
        <w:rPr>
          <w:rFonts w:ascii="Arial" w:cs="Arial" w:eastAsia="Arial" w:hAnsi="Arial"/>
          <w:b/>
          <w:bCs/>
          <w:color w:val="1A1A1A"/>
          <w:sz w:val="22"/>
          <w:szCs w:val="22"/>
        </w:rPr>
        <w:t>Consumers: apps.json marks six enabled — project-tracking (the v0 pilot), rfp-automation, email-processor, cyber-artifact-gen, digital-twin, and floor-plan-editor. scribe carries a synced brand bundle but has no apps.json entry, so it drifts on every rebuild.</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Phases complete: 1 (token definitions), 2 (CSS build), 3 (Python brand.py + sync script). Light/dark theme supported. Also home to the SSi Niagara 4 engineering standard: point naming contract, point dictionary, data-driven plant graphics (PNG/Px/SVG), 10 Px view templates, and a Px authoring guide. The bundle now also ships interactions.js — a UMD module exposing window.SSiInteractions, whose guardAriaDisabled() closes the keyboard-activation gap that pointer-events: none leaves open on [aria-disabled="true"] elements — synced into all five on-disk consumers. The sync breakage carried in this document through 2026-08-06 is resolved: apps.json's _root was corrected from the pre-migration /Users/ogreen/Documents/dev to /Users/ogreen/dev, and five of the six enabled targets now resolve. floor-plan-editor is the lone remaining miss — enabled in apps.json, but the project has no directory anywhere.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2.3 niagara-config</w:t>
      </w:r>
    </w:p>
    <w:p>
      <w:pPr>
        <w:spacing w:after="120" w:before="60"/>
      </w:pPr>
      <w:r>
        <w:rPr>
          <w:rFonts w:ascii="Arial" w:cs="Arial" w:eastAsia="Arial" w:hAnsi="Arial"/>
          <w:color w:val="1A1A1A"/>
          <w:sz w:val="22"/>
          <w:szCs w:val="22"/>
        </w:rPr>
        <w:t>Small, dependency-light Python library (pydantic only) that parses Niagara Supervisor backups (config.bog) and classifies station points into an equipment/role semantic model. Extracted from niagara-llm in 2026-07 to be the single source of truth for Niagara-backup handling. Its semantic Role/EquipType values are the canonical vocabulary both consumers bind to. Public API spans backup, semantic, model, topology, catalog, and sources.base (the abstract StationDataSource contract).</w:t>
      </w:r>
    </w:p>
    <w:p>
      <w:pPr>
        <w:spacing w:after="120" w:before="60"/>
      </w:pPr>
      <w:r>
        <w:rPr>
          <w:rFonts w:ascii="Arial" w:cs="Arial" w:eastAsia="Arial" w:hAnsi="Arial"/>
          <w:b/>
          <w:bCs/>
          <w:color w:val="1A1A1A"/>
          <w:sz w:val="22"/>
          <w:szCs w:val="22"/>
        </w:rPr>
        <w:t>Consumers: niagara-llm (via one-line re-export shims, so its existing imports are unchanged) and digital-twin (config-driven mode, including the rev-2.15 backup history replay, which reads niagara_config.backup.csv_history_lookup's format). Note: the former 2.3 entry here, cyber-proposals, was archived 2026-07-14 — its NAVFAC/USACE proposal and pricing logic now ships as the navfac-cyber-proposal Claude skill.</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3. Data-Flow Pipelines</w:t>
      </w:r>
    </w:p>
    <w:p>
      <w:pPr>
        <w:pStyle w:val="Heading2"/>
        <w:spacing w:after="120" w:before="280"/>
      </w:pPr>
      <w:r>
        <w:rPr>
          <w:rFonts w:ascii="Arial" w:cs="Arial" w:eastAsia="Arial" w:hAnsi="Arial"/>
          <w:b/>
          <w:bCs/>
          <w:color w:val="2E75B6"/>
          <w:sz w:val="26"/>
          <w:szCs w:val="26"/>
        </w:rPr>
        <w:t xml:space="preserve">3.1 DoD Cyber Proposal Pipeline</w:t>
      </w:r>
    </w:p>
    <w:p>
      <w:pPr>
        <w:spacing w:after="120" w:before="60"/>
      </w:pPr>
      <w:r>
        <w:rPr>
          <w:rFonts w:ascii="Arial" w:cs="Arial" w:eastAsia="Arial" w:hAnsi="Arial"/>
          <w:color w:val="1A1A1A"/>
          <w:sz w:val="22"/>
          <w:szCs w:val="22"/>
        </w:rPr>
        <w:t xml:space="preserve">End-to-end pipeline from RFP receipt through delivered proposal artifacts.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Intake &amp; Classification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(FastAPI dashboard, port 8008)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Classified scope JSON, UFGS tags (25 05 11 / 25 08 11)</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Document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rfp-automation (Playwright → MRAS/SAM/eBuy/PIEE)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 PDF, SOW, drawings, Q&amp;A</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Scope Extraction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 Claude API (prompt-cached)</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Structured scope items, submittal matrix</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Pricing &amp; Tech Proposal</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navfac-cyber-proposal Claude skill (replaced the archived cyber-proposals / cyber-estimates)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CLIN-structured pricing workbook + draft .docx</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Evidence</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Voyage AI retrieval,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Cited PP write-ups drafted in SSI's template</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Site Artifacts</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cyber-artifact-gen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Hardware/software diagrams, network schematics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Post-Award Provisioning</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project-creation (Graph app-only; port 8773 reserved, CLI still a stub)</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SharePoint site + Planner plan</w:t>
            </w:r>
          </w:p>
        </w:tc>
      </w:tr>
      <w:tr>
        <w:tc>
          <w:tcPr>
            <w:tcW w:type="dxa" w:w="480"/>
          </w:tcPr>
          <w:p>
            <w:r>
              <w:t>8</w:t>
            </w:r>
          </w:p>
        </w:tc>
        <w:tc>
          <w:tcPr>
            <w:tcW w:type="dxa" w:w="2200"/>
          </w:tcPr>
          <w:p>
            <w:r>
              <w:t>Execution Tracking</w:t>
            </w:r>
          </w:p>
        </w:tc>
        <w:tc>
          <w:tcPr>
            <w:tcW w:type="dxa" w:w="3080"/>
          </w:tcPr>
          <w:p>
            <w:r>
              <w:t>project-tracking (port 443) + project-monitor (port 8769)</w:t>
            </w:r>
          </w:p>
        </w:tc>
        <w:tc>
          <w:tcPr>
            <w:tcW w:type="dxa" w:w="3600"/>
          </w:tcPr>
          <w:p>
            <w:r>
              <w:t>Budget/labor/submittal dashboards; contract/mod/PO/invoice registers</w:t>
            </w:r>
          </w:p>
        </w:tc>
      </w:tr>
    </w:tbl>
    <w:p>
      <w:pPr>
        <w:spacing w:before="240"/>
      </w:pPr>
    </w:p>
    <w:p>
      <w:pPr>
        <w:pStyle w:val="Heading2"/>
        <w:spacing w:after="120" w:before="280"/>
      </w:pPr>
      <w:r>
        <w:rPr>
          <w:rFonts w:ascii="Arial" w:cs="Arial" w:eastAsia="Arial" w:hAnsi="Arial"/>
          <w:b/>
          <w:bCs/>
          <w:color w:val="2E75B6"/>
          <w:sz w:val="26"/>
          <w:szCs w:val="26"/>
        </w:rPr>
        <w:t xml:space="preserve">3.2 Email → Document Automation Pipeline</w:t>
      </w:r>
    </w:p>
    <w:p>
      <w:pPr>
        <w:spacing w:after="120" w:before="60"/>
      </w:pPr>
      <w:r>
        <w:rPr>
          <w:rFonts w:ascii="Arial" w:cs="Arial" w:eastAsia="Arial" w:hAnsi="Arial"/>
          <w:color w:val="1A1A1A"/>
          <w:sz w:val="22"/>
          <w:szCs w:val="22"/>
        </w:rPr>
        <w:t>Triage and processing pipeline for inbound SSi solicitation emails. The email-processor product was renamed Transom on 2026-08-10; the rename is display-only, so the email-intake CLI, package, launchd units, and paths referenced throughout this document are unchanged. On 2026-08-12 its dashboard and authenticated auth pages picked up a persistent branded sidebar shell matching the left-nav pattern SENTRY and Scribe already use, and its hand-rolled component CSS was replaced with the shared design-system badge, button, toast, and table classes. On 2026-08-13 duplicate handling was rebuilt: an email is now identified by Message-ID (content hash as fallback) and checked against the processed-emails index before any Claude call, so an exact re-upload short-circuits with no portal fetch, no Claude call, and no vault write, and a genuinely new email whose canonical key matches an already-tracked opportunity is merged into the existing summary by a second call rather than overwriting it with a thin follow-up. On 2026-08-14 the pipeline's file transport itself came under redesign: the vault, the inbox, and the past-performance source directory all sit on a OneDrive-synced SharePoint mount that was deadlocking both LaunchAgents with Errno 11 (Resource deadlock avoided), so a spec now moves all three onto direct Graph Files access modeled on SENTRY's. This does not reopen the locked no-Graph-API decision, which blocks Graph for mail ingestion (Mail.Read against Exchange mailboxes) specifically; the vault and inbox are ordinary SharePoint document-library folders under Sites.Selected, and mail content processing stays local on the Mac. Plan 1 of 3 — a standalone graph/ module with cert-based auth, a retrying GraphClient, and a locally cached id-keyed mirror — is merged with no wiring into the live pipeline, watcher, or webserver; Plans 2 and 3 are the integration.</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 Ingestion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(watcher daemon)</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Parsed email metadata + attachments; exact re-uploads deduped by Message-ID before any API call</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(Playwright fetchers)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PWS/SOW PDFs, Q&amp;A documents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Summarization &amp; Bid Call</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 Claude API (locked system prompt)</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Obsidian .md note + a pursue-prime / pursue-sub / watch / pass call with fit assessment; a re-receipt of a tracked opportunity is merged into its existing summary</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Document Output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(python-docx), dashboard on port 8765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Formatted .docx brief + dashboard entry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 Performance Lookup</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embeddings,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Relevant PP references for bid/no-bid</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Meeting Capture</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scribe (Whisper/MLX + pyannote + Ollama, port 8736)</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Transcripts, decisions, action items, recap email draft</w:t>
            </w:r>
          </w:p>
        </w:tc>
      </w:tr>
      <w:tr>
        <w:tc>
          <w:tcPr>
            <w:tcW w:type="dxa" w:w="480"/>
          </w:tcPr>
          <w:p>
            <w:r>
              <w:t>7</w:t>
            </w:r>
          </w:p>
        </w:tc>
        <w:tc>
          <w:tcPr>
            <w:tcW w:type="dxa" w:w="2200"/>
          </w:tcPr>
          <w:p>
            <w:r>
              <w:t>Financial Tracking</w:t>
            </w:r>
          </w:p>
        </w:tc>
        <w:tc>
          <w:tcPr>
            <w:tcW w:type="dxa" w:w="3080"/>
          </w:tcPr>
          <w:p>
            <w:r>
              <w:t>project-tracking (FastAPI portal, port 443)</w:t>
            </w:r>
          </w:p>
        </w:tc>
        <w:tc>
          <w:tcPr>
            <w:tcW w:type="dxa" w:w="3600"/>
          </w:tcPr>
          <w:p>
            <w:r>
              <w:t>Per-job budget/labor/submittal dashboard, sourced live from Sage 100 Cloud Connector</w:t>
            </w:r>
          </w:p>
        </w:tc>
      </w:tr>
    </w:tbl>
    <w:p>
      <w:pPr>
        <w:spacing w:before="240"/>
      </w:pPr>
    </w:p>
    <w:p>
      <w:pPr>
        <w:pStyle w:val="Heading2"/>
        <w:spacing w:after="120" w:before="280"/>
      </w:pPr>
      <w:r>
        <w:rPr>
          <w:rFonts w:ascii="Arial" w:cs="Arial" w:eastAsia="Arial" w:hAnsi="Arial"/>
          <w:b/>
          <w:bCs/>
          <w:color w:val="2E75B6"/>
          <w:sz w:val="26"/>
          <w:szCs w:val="26"/>
        </w:rPr>
        <w:t xml:space="preserve">3.3 Network / OT Discovery Pipeline</w:t>
      </w:r>
    </w:p>
    <w:p>
      <w:pPr>
        <w:spacing w:after="120" w:before="60"/>
      </w:pPr>
      <w:r>
        <w:rPr>
          <w:rFonts w:ascii="Arial" w:cs="Arial" w:eastAsia="Arial" w:hAnsi="Arial"/>
          <w:color w:val="1A1A1A"/>
          <w:sz w:val="22"/>
          <w:szCs w:val="22"/>
        </w:rPr>
        <w:t xml:space="preserve">Progressive network characterization from passive link discovery through full BACnet enumeration and virtual device testing.</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680"/>
        <w:gridCol w:w="2680"/>
        <w:gridCol w:w="352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Physical Link ID (passive)</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ethernet-link-analyzer (Scapy, zero-transmit)</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Switch/port/VLAN/voice-VLAN identification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Active Network Scan</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(nmap/netmiko, safe OT profile)</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Device/port/service inventory, switch topology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Enumeration</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(Who-Is / ReadProperty)</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device identity + per-object catalog</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RMF Risk Register</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(YAML CVE matching, NIST 800-53 grouping)</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Auditor-facing RMF markdown report + findings page</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Bulk PRTG Device Import</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prtg-import (PowerShell)</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 group/device/tag configuration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 Device Testing</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virtual-devices (bacpypes3, Docker macvlan)</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Simulated 76-device BAS fleet for scanner testing</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HVAC Simulation / Training</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digital-twin — DOPPEL (BAC0, Flask)</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Fault-injection scenarios, operator training HMI, labeled FDD fixtures</w:t>
            </w:r>
          </w:p>
        </w:tc>
      </w:tr>
      <w:tr>
        <w:tc>
          <w:tcPr>
            <w:tcW w:type="dxa" w:w="480"/>
          </w:tcPr>
          <w:p>
            <w:r>
              <w:t>8</w:t>
            </w:r>
          </w:p>
        </w:tc>
        <w:tc>
          <w:tcPr>
            <w:tcW w:type="dxa" w:w="2680"/>
          </w:tcPr>
          <w:p>
            <w:r>
              <w:t>Niagara Analysis &amp; Diagnosis</w:t>
            </w:r>
          </w:p>
        </w:tc>
        <w:tc>
          <w:tcPr>
            <w:tcW w:type="dxa" w:w="2680"/>
          </w:tcPr>
          <w:p>
            <w:r>
              <w:t>niagara-llm — CASCADE (port 8770) on niagara-config</w:t>
            </w:r>
          </w:p>
        </w:tc>
        <w:tc>
          <w:tcPr>
            <w:tcW w:type="dxa" w:w="3520"/>
          </w:tcPr>
          <w:p>
            <w:r>
              <w:t>Detector findings, LLM diagnosis, Supervisor audit, backup ROI report</w:t>
            </w:r>
          </w:p>
        </w:tc>
      </w:tr>
      <w:tr>
        <w:tc>
          <w:tcPr>
            <w:tcW w:type="dxa" w:w="480"/>
          </w:tcPr>
          <w:p>
            <w:r>
              <w:t>9</w:t>
            </w:r>
          </w:p>
        </w:tc>
        <w:tc>
          <w:tcPr>
            <w:tcW w:type="dxa" w:w="2680"/>
          </w:tcPr>
          <w:p>
            <w:r>
              <w:t>SIEM Event Forwarding</w:t>
            </w:r>
          </w:p>
        </w:tc>
        <w:tc>
          <w:tcPr>
            <w:tcW w:type="dxa" w:w="2680"/>
          </w:tcPr>
          <w:p>
            <w:r>
              <w:t>siem-forwarder (Niagara 4 JACE module)</w:t>
            </w:r>
          </w:p>
        </w:tc>
        <w:tc>
          <w:tcPr>
            <w:tcW w:type="dxa" w:w="3520"/>
          </w:tcPr>
          <w:p>
            <w:r>
              <w:t>RFC 5424 syslog/TLS stream of security-relevant BACnet MS/TP wire operations, non-interfering (station alarms retired 2026-08-11; audit/platform logs are left to Niagara’s native remote syslog)</w:t>
            </w:r>
          </w:p>
        </w:tc>
      </w:tr>
      <w:tr>
        <w:tc>
          <w:tcPr>
            <w:tcW w:type="dxa" w:w="480"/>
          </w:tcPr>
          <w:p>
            <w:r>
              <w:t>10</w:t>
            </w:r>
          </w:p>
        </w:tc>
        <w:tc>
          <w:tcPr>
            <w:tcW w:type="dxa" w:w="2680"/>
          </w:tcPr>
          <w:p>
            <w:r>
              <w:t>Site KML / Topology</w:t>
            </w:r>
          </w:p>
        </w:tc>
        <w:tc>
          <w:tcPr>
            <w:tcW w:type="dxa" w:w="2680"/>
          </w:tcPr>
          <w:p>
            <w:r>
              <w:t>kml (JS/Python)</w:t>
            </w:r>
          </w:p>
        </w:tc>
        <w:tc>
          <w:tcPr>
            <w:tcW w:type="dxa" w:w="3520"/>
          </w:tcPr>
          <w:p>
            <w:r>
              <w:t>Geospatial KML for JBLM site engineering</w:t>
            </w:r>
          </w:p>
        </w:tc>
      </w:tr>
    </w:tbl>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4. Common Technology Patterns</w:t>
      </w:r>
    </w:p>
    <w:p>
      <w:pPr>
        <w:pStyle w:val="Heading2"/>
        <w:spacing w:after="120" w:before="280"/>
      </w:pPr>
      <w:r>
        <w:rPr>
          <w:rFonts w:ascii="Arial" w:cs="Arial" w:eastAsia="Arial" w:hAnsi="Arial"/>
          <w:b/>
          <w:bCs/>
          <w:color w:val="2E75B6"/>
          <w:sz w:val="26"/>
          <w:szCs w:val="26"/>
        </w:rPr>
        <w:t xml:space="preserve">4.1 Backend</w:t>
      </w:r>
    </w:p>
    <w:p>
      <w:pPr>
        <w:pStyle w:val="ListParagraph"/>
        <w:numPr>
          <w:ilvl w:val="0"/>
          <w:numId w:val="1"/>
        </w:numPr>
        <w:spacing w:after="40" w:before="40"/>
      </w:pPr>
      <w:r>
        <w:rPr>
          <w:rFonts w:ascii="Arial" w:cs="Arial" w:eastAsia="Arial" w:hAnsi="Arial"/>
          <w:color w:val="1A1A1A"/>
          <w:sz w:val="22"/>
          <w:szCs w:val="22"/>
        </w:rPr>
        <w:t>Python + FastAPI for most web-based tools; uv for dependency management. Exceptions: digital-twin serves its HMI from Flask, rfp-automation's dashboard is a stdlib HTTP handler, and floor-plan-editor / outlook-followup are browser- and Office.js-only with no Python backend at all</w:t>
      </w:r>
    </w:p>
    <w:p>
      <w:pPr>
        <w:pStyle w:val="ListParagraph"/>
        <w:numPr>
          <w:ilvl w:val="0"/>
          <w:numId w:val="1"/>
        </w:numPr>
        <w:spacing w:after="40" w:before="40"/>
      </w:pPr>
      <w:r>
        <w:rPr>
          <w:rFonts w:ascii="Arial" w:cs="Arial" w:eastAsia="Arial" w:hAnsi="Arial"/>
          <w:color w:val="1A1A1A"/>
          <w:sz w:val="22"/>
          <w:szCs w:val="22"/>
        </w:rPr>
        <w:t xml:space="preserve">SQLite for structured local storage (network-scanner, past-performance, cert-manager, project-tracking)</w:t>
      </w:r>
    </w:p>
    <w:p>
      <w:pPr>
        <w:pStyle w:val="ListParagraph"/>
        <w:numPr>
          <w:ilvl w:val="0"/>
          <w:numId w:val="1"/>
        </w:numPr>
        <w:spacing w:after="40" w:before="40"/>
      </w:pPr>
      <w:r>
        <w:rPr>
          <w:rFonts w:ascii="Arial" w:cs="Arial" w:eastAsia="Arial" w:hAnsi="Arial"/>
          <w:color w:val="1A1A1A"/>
          <w:sz w:val="22"/>
          <w:szCs w:val="22"/>
        </w:rPr>
        <w:t xml:space="preserve">JSON-backed stores for configuration, user accounts, and small datasets</w:t>
      </w:r>
    </w:p>
    <w:p>
      <w:pPr>
        <w:pStyle w:val="ListParagraph"/>
        <w:numPr>
          <w:ilvl w:val="0"/>
          <w:numId w:val="1"/>
        </w:numPr>
        <w:spacing w:after="40" w:before="40"/>
      </w:pPr>
      <w:r>
        <w:rPr>
          <w:rFonts w:ascii="Arial" w:cs="Arial" w:eastAsia="Arial" w:hAnsi="Arial"/>
          <w:color w:val="1A1A1A"/>
          <w:sz w:val="22"/>
          <w:szCs w:val="22"/>
        </w:rPr>
        <w:t>Pytest wherever there is Python, with suites ranging from 7 tests (cert-manager) to ~4,966 (rfp-automation). It is not universal: prtg-import (PowerShell), outlook-followup (JS), kml, and the design-only fulcrum-replacement have no test suite at all</w:t>
      </w:r>
    </w:p>
    <w:p>
      <w:pPr>
        <w:pStyle w:val="Heading2"/>
        <w:spacing w:after="120" w:before="280"/>
      </w:pPr>
      <w:r>
        <w:rPr>
          <w:rFonts w:ascii="Arial" w:cs="Arial" w:eastAsia="Arial" w:hAnsi="Arial"/>
          <w:b/>
          <w:bCs/>
          <w:color w:val="2E75B6"/>
          <w:sz w:val="26"/>
          <w:szCs w:val="26"/>
        </w:rPr>
        <w:t xml:space="preserve">4.2 Frontend</w:t>
      </w:r>
    </w:p>
    <w:p>
      <w:pPr>
        <w:pStyle w:val="ListParagraph"/>
        <w:numPr>
          <w:ilvl w:val="0"/>
          <w:numId w:val="1"/>
        </w:numPr>
        <w:spacing w:after="40" w:before="40"/>
      </w:pPr>
      <w:r>
        <w:rPr>
          <w:rFonts w:ascii="Arial" w:cs="Arial" w:eastAsia="Arial" w:hAnsi="Arial"/>
          <w:color w:val="1A1A1A"/>
          <w:sz w:val="22"/>
          <w:szCs w:val="22"/>
        </w:rPr>
        <w:t xml:space="preserve">Vanilla JS + HTMX for lightweight server-rendered UIs (network-scanner, digital-twin)</w:t>
      </w:r>
    </w:p>
    <w:p>
      <w:pPr>
        <w:pStyle w:val="ListParagraph"/>
        <w:numPr>
          <w:ilvl w:val="0"/>
          <w:numId w:val="1"/>
        </w:numPr>
        <w:spacing w:after="40" w:before="40"/>
      </w:pPr>
      <w:r>
        <w:rPr>
          <w:rFonts w:ascii="Arial" w:cs="Arial" w:eastAsia="Arial" w:hAnsi="Arial"/>
          <w:color w:val="1A1A1A"/>
          <w:sz w:val="22"/>
          <w:szCs w:val="22"/>
        </w:rPr>
        <w:t>React + Vite + TypeScript for richer UIs (project-tracking v2 UI, cert-manager)</w:t>
      </w:r>
    </w:p>
    <w:p>
      <w:pPr>
        <w:pStyle w:val="ListParagraph"/>
        <w:numPr>
          <w:ilvl w:val="0"/>
          <w:numId w:val="1"/>
        </w:numPr>
        <w:spacing w:after="40" w:before="40"/>
      </w:pPr>
      <w:r>
        <w:rPr>
          <w:rFonts w:ascii="Arial" w:cs="Arial" w:eastAsia="Arial" w:hAnsi="Arial"/>
          <w:color w:val="1A1A1A"/>
          <w:sz w:val="22"/>
          <w:szCs w:val="22"/>
        </w:rPr>
        <w:t xml:space="preserve">Tabulator 5.5 for data-grid views (project-tracking)</w:t>
      </w:r>
    </w:p>
    <w:p>
      <w:pPr>
        <w:pStyle w:val="ListParagraph"/>
        <w:numPr>
          <w:ilvl w:val="0"/>
          <w:numId w:val="1"/>
        </w:numPr>
        <w:spacing w:after="40" w:before="40"/>
      </w:pPr>
      <w:r>
        <w:rPr>
          <w:rFonts w:ascii="Arial" w:cs="Arial" w:eastAsia="Arial" w:hAnsi="Arial"/>
          <w:color w:val="1A1A1A"/>
          <w:sz w:val="22"/>
          <w:szCs w:val="22"/>
        </w:rPr>
        <w:t>ssi-design-system CSS tokens are the intended baseline across SSi web apps — six consumers are configured in apps.json, and sync.py works again now that its stale _root is fixed (see 2.2). Adoption is deepening past tokens into the shared component vocabulary: email-processor dropped its own badge/button/toast/table CSS for the shared classes on 2026-08-12. A branded left-nav sidebar shell has likewise become the de-facto app chrome across rfp-automation, scribe, and now email-processor, but as hand-copied markup rather than anything the bundle ships — a candidate for promotion into it. Two gaps remain: scribe carries a synced bundle with no apps.json entry to keep it current, and the enabled floor-plan-editor entry has no directory to sync to</w:t>
      </w:r>
    </w:p>
    <w:p>
      <w:pPr>
        <w:pStyle w:val="Heading2"/>
        <w:spacing w:after="120" w:before="280"/>
      </w:pPr>
      <w:r>
        <w:rPr>
          <w:rFonts w:ascii="Arial" w:cs="Arial" w:eastAsia="Arial" w:hAnsi="Arial"/>
          <w:b/>
          <w:bCs/>
          <w:color w:val="2E75B6"/>
          <w:sz w:val="26"/>
          <w:szCs w:val="26"/>
        </w:rPr>
        <w:t xml:space="preserve">4.3 Document Generation</w:t>
      </w:r>
    </w:p>
    <w:p>
      <w:pPr>
        <w:pStyle w:val="ListParagraph"/>
        <w:numPr>
          <w:ilvl w:val="0"/>
          <w:numId w:val="1"/>
        </w:numPr>
        <w:spacing w:after="40" w:before="40"/>
      </w:pPr>
      <w:r>
        <w:rPr>
          <w:rFonts w:ascii="Arial" w:cs="Arial" w:eastAsia="Arial" w:hAnsi="Arial"/>
          <w:color w:val="1A1A1A"/>
          <w:sz w:val="22"/>
          <w:szCs w:val="22"/>
        </w:rPr>
        <w:t xml:space="preserve">python-docx (Python) for Word output in all backend systems</w:t>
      </w:r>
    </w:p>
    <w:p>
      <w:pPr>
        <w:pStyle w:val="ListParagraph"/>
        <w:numPr>
          <w:ilvl w:val="0"/>
          <w:numId w:val="1"/>
        </w:numPr>
        <w:spacing w:after="40" w:before="40"/>
      </w:pPr>
      <w:r>
        <w:rPr>
          <w:rFonts w:ascii="Arial" w:cs="Arial" w:eastAsia="Arial" w:hAnsi="Arial"/>
          <w:color w:val="1A1A1A"/>
          <w:sz w:val="22"/>
          <w:szCs w:val="22"/>
        </w:rPr>
        <w:t>docx.js (Node.js) where richer formatting control is needed (sops SOP builder)</w:t>
      </w:r>
    </w:p>
    <w:p>
      <w:pPr>
        <w:pStyle w:val="ListParagraph"/>
        <w:numPr>
          <w:ilvl w:val="0"/>
          <w:numId w:val="1"/>
        </w:numPr>
        <w:spacing w:after="40" w:before="40"/>
      </w:pPr>
      <w:r>
        <w:rPr>
          <w:rFonts w:ascii="Arial" w:cs="Arial" w:eastAsia="Arial" w:hAnsi="Arial"/>
          <w:color w:val="1A1A1A"/>
          <w:sz w:val="22"/>
          <w:szCs w:val="22"/>
        </w:rPr>
        <w:t>openpyxl for Excel output (project-tracking Sage rollups, network-scanner reports, ssi-design-system point dictionary)</w:t>
      </w:r>
    </w:p>
    <w:p>
      <w:pPr>
        <w:pStyle w:val="Heading2"/>
        <w:spacing w:after="120" w:before="280"/>
      </w:pPr>
      <w:r>
        <w:rPr>
          <w:rFonts w:ascii="Arial" w:cs="Arial" w:eastAsia="Arial" w:hAnsi="Arial"/>
          <w:b/>
          <w:bCs/>
          <w:color w:val="2E75B6"/>
          <w:sz w:val="26"/>
          <w:szCs w:val="26"/>
        </w:rPr>
        <w:t xml:space="preserve">4.4 AI Integration (Claude API)</w:t>
      </w:r>
    </w:p>
    <w:p>
      <w:pPr>
        <w:pStyle w:val="ListParagraph"/>
        <w:numPr>
          <w:ilvl w:val="0"/>
          <w:numId w:val="1"/>
        </w:numPr>
        <w:spacing w:after="40" w:before="40"/>
      </w:pPr>
      <w:r>
        <w:rPr>
          <w:rFonts w:ascii="Arial" w:cs="Arial" w:eastAsia="Arial" w:hAnsi="Arial"/>
          <w:color w:val="1A1A1A"/>
          <w:sz w:val="22"/>
          <w:szCs w:val="22"/>
        </w:rPr>
        <w:t>Prompt caching enabled in all Claude API consumers (rfp-automation, email-processor, past-performance, project-monitor, cyber-brain, sanguine)</w:t>
      </w:r>
    </w:p>
    <w:p>
      <w:pPr>
        <w:pStyle w:val="ListParagraph"/>
        <w:numPr>
          <w:ilvl w:val="0"/>
          <w:numId w:val="1"/>
        </w:numPr>
        <w:spacing w:after="40" w:before="40"/>
      </w:pPr>
      <w:r>
        <w:rPr>
          <w:rFonts w:ascii="Arial" w:cs="Arial" w:eastAsia="Arial" w:hAnsi="Arial"/>
          <w:color w:val="1A1A1A"/>
          <w:sz w:val="22"/>
          <w:szCs w:val="22"/>
        </w:rPr>
        <w:t>Primary uses: scope extraction from specs, email triage summarization, past-performance extraction/generation, register extraction, BAS fault diagnosis</w:t>
      </w:r>
    </w:p>
    <w:p>
      <w:pPr>
        <w:pStyle w:val="ListParagraph"/>
        <w:numPr>
          <w:ilvl w:val="0"/>
          <w:numId w:val="1"/>
        </w:numPr>
        <w:spacing w:after="40" w:before="40"/>
      </w:pPr>
      <w:r>
        <w:rPr>
          <w:rFonts w:ascii="Arial" w:cs="Arial" w:eastAsia="Arial" w:hAnsi="Arial"/>
          <w:color w:val="1A1A1A"/>
          <w:sz w:val="22"/>
          <w:szCs w:val="22"/>
        </w:rPr>
        <w:t>All API calls structured with defined system prompts and typed output schemas where possible; local Ollama replaces the cloud API where CUI or air-gapped operation requires it (niagara-llm, scribe, rfp-automation amendment review)</w:t>
      </w:r>
    </w:p>
    <w:p>
      <w:pPr>
        <w:pStyle w:val="Heading2"/>
        <w:spacing w:after="120" w:before="280"/>
      </w:pPr>
      <w:r>
        <w:rPr>
          <w:rFonts w:ascii="Arial" w:cs="Arial" w:eastAsia="Arial" w:hAnsi="Arial"/>
          <w:b/>
          <w:bCs/>
          <w:color w:val="2E75B6"/>
          <w:sz w:val="26"/>
          <w:szCs w:val="26"/>
        </w:rPr>
        <w:t xml:space="preserve">4.5 OT / BAS Stack</w:t>
      </w:r>
    </w:p>
    <w:p>
      <w:pPr>
        <w:pStyle w:val="ListParagraph"/>
        <w:numPr>
          <w:ilvl w:val="0"/>
          <w:numId w:val="1"/>
        </w:numPr>
        <w:spacing w:after="40" w:before="40"/>
      </w:pPr>
      <w:r>
        <w:rPr>
          <w:rFonts w:ascii="Arial" w:cs="Arial" w:eastAsia="Arial" w:hAnsi="Arial"/>
          <w:color w:val="1A1A1A"/>
          <w:sz w:val="22"/>
          <w:szCs w:val="22"/>
        </w:rPr>
        <w:t xml:space="preserve">bacpypes3 — BACnet/IP device emulation and stack (virtual-devices, network-scanner, digital-twin)</w:t>
      </w:r>
    </w:p>
    <w:p>
      <w:pPr>
        <w:pStyle w:val="ListParagraph"/>
        <w:numPr>
          <w:ilvl w:val="0"/>
          <w:numId w:val="1"/>
        </w:numPr>
        <w:spacing w:after="40" w:before="40"/>
      </w:pPr>
      <w:r>
        <w:rPr>
          <w:rFonts w:ascii="Arial" w:cs="Arial" w:eastAsia="Arial" w:hAnsi="Arial"/>
          <w:color w:val="1A1A1A"/>
          <w:sz w:val="22"/>
          <w:szCs w:val="22"/>
        </w:rPr>
        <w:t xml:space="preserve">BAC0 — BACnet controller simulation (digital-twin)</w:t>
      </w:r>
    </w:p>
    <w:p>
      <w:pPr>
        <w:pStyle w:val="ListParagraph"/>
        <w:numPr>
          <w:ilvl w:val="0"/>
          <w:numId w:val="1"/>
        </w:numPr>
        <w:spacing w:after="40" w:before="40"/>
      </w:pPr>
      <w:r>
        <w:rPr>
          <w:rFonts w:ascii="Arial" w:cs="Arial" w:eastAsia="Arial" w:hAnsi="Arial"/>
          <w:color w:val="1A1A1A"/>
          <w:sz w:val="22"/>
          <w:szCs w:val="22"/>
        </w:rPr>
        <w:t>Scapy / libpcap — passive packet capture (ethernet-link-analyzer, pocket-probe simulator)</w:t>
      </w:r>
    </w:p>
    <w:p>
      <w:pPr>
        <w:pStyle w:val="ListParagraph"/>
        <w:numPr>
          <w:ilvl w:val="0"/>
          <w:numId w:val="1"/>
        </w:numPr>
        <w:spacing w:after="40" w:before="40"/>
      </w:pPr>
      <w:r>
        <w:rPr>
          <w:rFonts w:ascii="Arial" w:cs="Arial" w:eastAsia="Arial" w:hAnsi="Arial"/>
          <w:color w:val="1A1A1A"/>
          <w:sz w:val="22"/>
          <w:szCs w:val="22"/>
        </w:rPr>
        <w:t xml:space="preserve">nmap + netmiko — active scanning and switch SSH interrogation (network-scanner)</w:t>
      </w:r>
    </w:p>
    <w:p>
      <w:pPr>
        <w:pStyle w:val="Heading2"/>
        <w:spacing w:after="120" w:before="280"/>
      </w:pPr>
      <w:r>
        <w:rPr>
          <w:rFonts w:ascii="Arial" w:cs="Arial" w:eastAsia="Arial" w:hAnsi="Arial"/>
          <w:b/>
          <w:bCs/>
          <w:color w:val="2E75B6"/>
          <w:sz w:val="26"/>
          <w:szCs w:val="26"/>
        </w:rPr>
        <w:t xml:space="preserve">4.6 Multi-Machine / Sync</w:t>
      </w:r>
    </w:p>
    <w:p>
      <w:pPr>
        <w:pStyle w:val="ListParagraph"/>
        <w:numPr>
          <w:ilvl w:val="0"/>
          <w:numId w:val="1"/>
        </w:numPr>
        <w:spacing w:after="40" w:before="40"/>
      </w:pPr>
      <w:r>
        <w:rPr>
          <w:rFonts w:ascii="Arial" w:cs="Arial" w:eastAsia="Arial" w:hAnsi="Arial"/>
          <w:color w:val="1A1A1A"/>
          <w:sz w:val="22"/>
          <w:szCs w:val="22"/>
        </w:rPr>
        <w:t xml:space="preserve">Syncthing + claude-sync daemon for ~/.claude/projects/ conflict resolution across Macs</w:t>
      </w:r>
    </w:p>
    <w:p>
      <w:pPr>
        <w:pStyle w:val="ListParagraph"/>
        <w:numPr>
          <w:ilvl w:val="0"/>
          <w:numId w:val="1"/>
        </w:numPr>
        <w:spacing w:after="40" w:before="40"/>
      </w:pPr>
      <w:r>
        <w:rPr>
          <w:rFonts w:ascii="Arial" w:cs="Arial" w:eastAsia="Arial" w:hAnsi="Arial"/>
          <w:color w:val="1A1A1A"/>
          <w:sz w:val="22"/>
          <w:szCs w:val="22"/>
        </w:rPr>
        <w:t>OneDrive for email-processor vault sync between machines — CMMC-compliant in that no Graph API touches the mailbox. As of 2026-08-14 the file transport (vault, inbox, PP source) is being moved off the OneDrive mount onto Graph Files under Sites.Selected, which is a different permission surface and leaves the mail-ingestion constraint intact. rfp-automation completed the equivalent move on 2026-08-15 and is the proof case: its watcher discovers and hydrates roughly 250 projects through Graph, and it rode out a 2026-08-16 File Provider readdir hang that blanked the dashboard — the last read path still touching the local tree — by migrating that path onto the Graph cache too, rather than waiting for the mount. On 2026-08-17 the remaining weak point turned out to be the monitoring rather than the transport: the health check was still treating an unreachable local mount as degradation and kickstart-looping a healthy dashboard, and was redesigned to stop probing local mounts for Graph-enabled roots</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5. Cross-Project Dependency Map</w:t>
      </w:r>
    </w:p>
    <w:p>
      <w:pPr>
        <w:spacing w:after="120" w:before="60"/>
      </w:pPr>
      <w:r>
        <w:rPr>
          <w:rFonts w:ascii="Arial" w:cs="Arial" w:eastAsia="Arial" w:hAnsi="Arial"/>
          <w:color w:val="1A1A1A"/>
          <w:sz w:val="22"/>
          <w:szCs w:val="22"/>
        </w:rPr>
        <w:t xml:space="preserve">The table below shows which projects consume which shared libraries or depend on other projects for data or services.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2400"/>
        <w:gridCol w:w="240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2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account-store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ssi-design-system</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niagara-config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(pilot)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project-creation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Pr>
          <w:p>
            <w:r>
              <w:t>niagara-llm</w:t>
            </w:r>
          </w:p>
        </w:tc>
        <w:tc>
          <w:tcPr>
            <w:tcW w:type="dxa" w:w="2160"/>
          </w:tcPr>
          <w:p>
            <w:r>
              <w:t>—</w:t>
            </w:r>
          </w:p>
        </w:tc>
        <w:tc>
          <w:tcPr>
            <w:tcW w:type="dxa" w:w="2400"/>
          </w:tcPr>
          <w:p>
            <w:r>
              <w:t>—</w:t>
            </w:r>
          </w:p>
        </w:tc>
        <w:tc>
          <w:tcPr>
            <w:tcW w:type="dxa" w:w="2400"/>
          </w:tcPr>
          <w:p>
            <w:r>
              <w:t>✓ (via re-export shims)</w:t>
            </w:r>
          </w:p>
        </w:tc>
      </w:tr>
      <w:tr>
        <w:tc>
          <w:tcPr>
            <w:tcW w:type="dxa" w:w="2400"/>
          </w:tcPr>
          <w:p>
            <w:r>
              <w:t>cyber-artifact-gen</w:t>
            </w:r>
          </w:p>
        </w:tc>
        <w:tc>
          <w:tcPr>
            <w:tcW w:type="dxa" w:w="2160"/>
          </w:tcPr>
          <w:p>
            <w:r>
              <w:t>—</w:t>
            </w:r>
          </w:p>
        </w:tc>
        <w:tc>
          <w:tcPr>
            <w:tcW w:type="dxa" w:w="2400"/>
          </w:tcPr>
          <w:p>
            <w:r>
              <w:t>✓ (data-level only)</w:t>
            </w:r>
          </w:p>
        </w:tc>
        <w:tc>
          <w:tcPr>
            <w:tcW w:type="dxa" w:w="2400"/>
          </w:tcPr>
          <w:p>
            <w:r>
              <w:t>—</w:t>
            </w:r>
          </w:p>
        </w:tc>
      </w:tr>
    </w:tbl>
    <w:p>
      <w:pPr>
        <w:spacing w:before="240"/>
      </w:pPr>
    </w:p>
    <w:p>
      <w:pPr>
        <w:pStyle w:val="Heading2"/>
        <w:spacing w:after="120" w:before="280"/>
      </w:pPr>
      <w:r>
        <w:rPr>
          <w:rFonts w:ascii="Arial" w:cs="Arial" w:eastAsia="Arial" w:hAnsi="Arial"/>
          <w:b/>
          <w:bCs/>
          <w:color w:val="2E75B6"/>
          <w:sz w:val="26"/>
          <w:szCs w:val="26"/>
        </w:rPr>
        <w:t xml:space="preserve">Integration Bridges</w:t>
      </w:r>
    </w:p>
    <w:p>
      <w:pPr>
        <w:spacing w:after="120" w:before="60"/>
      </w:pPr>
      <w:r>
        <w:rPr>
          <w:rFonts w:ascii="Arial" w:cs="Arial" w:eastAsia="Arial" w:hAnsi="Arial"/>
          <w:b/>
          <w:bCs/>
          <w:color w:val="1A1A1A"/>
          <w:sz w:val="22"/>
          <w:szCs w:val="22"/>
        </w:rPr>
        <w:t>virtual-devices → network-scanner: virtual-devices runs a macvlan Docker fleet that network-scanner targets for integration testing against a realistic BAS environment.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digital-twin → niagara-llm: the twin's Niagara oBIX/REST-BQL emulation layer is niagara-llm's development target, and its FaultEngine is the test oracle. Separately, the twin's `config export-fixtures` labeled diagnosis fixtures feed niagara-llm's diag-score offline scorer — JSON files are the whole contract, so there is no live server and no runtime dependency between the two repos.</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rfp-automation → project-creation: project-creation takes both account-store and rfp-automation as sibling path dependencies, so it needs both checked out beside it. Still planned: email-processor querying past-performance's index when triaging new solicitations.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6. Port &amp; Service Map</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120"/>
        <w:gridCol w:w="4800"/>
      </w:tblGrid>
      <w:tr>
        <w:tc>
          <w:tcPr>
            <w:tcW w:type="dxa" w:w="14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Port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4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Description</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443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Job financial dashboard, Sage-only ingestion as of 2026-08-07; uvicorn terminates TLS directly (mkcert), no reverse proxy. Cutover complete 2026-07-06; the old plaintext :8768 endpoint is retired.</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5173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Vite dev frontend; proxies /api → backend on 8002</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network-scanner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RMF BAS audit tool; FastAPI + web UI. Start via .venv/bin/python -m uvicorn (the console script has a stale shebang)</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8002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Cert management backend; FastAPI (React/Vite frontend on 5173)</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8008</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triage + proposal generation dashboard; stdlib HTTP; reads RFP_DASHBOARD_PORT from .env</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HVAC HMI (DOPPEL); Flask (WEB_HMI_PORT)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8081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Niagara oBIX server (emulator); gated by TWIN_ENABLE_NIAGARA=1</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Niagara REST/BQL endpoint (emulator); same process as oBIX (NIAGARA_BQL_PORT)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8736</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scribe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SSI Scribe meeting note taker; uvicorn terminates TLS directly (mkcert); launchd service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8737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dev-portfolio</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Portfolio index dashboard; plain HTTP ThreadingHTTPServer, no TLS despite the cert env vars being set (see PORTS.md)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8765</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Dashboard webserver (product name Transom as of 2026-08-10); FastAPI + auth; OneDrive sync. Use make serve, not a bare uv run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8767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PP search, extraction, and generation portal; FastAPI</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8769</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PM status dashboard via entity registers; FastAPI (PM_PORT)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niagara-llm</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CASCADE Niagara analysis brain; FastAPI + dashboard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8771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sanguine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Blood-lab results viewer; FastAPI + dashboard (SANGUINE_PORT)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cyber-brain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 group knowledge system; FastAPI + dashboard; binds 127.0.0.1 by default</w:t>
            </w:r>
          </w:p>
        </w:tc>
      </w:tr>
      <w:tr>
        <w:tc>
          <w:tcPr>
            <w:tcW w:type="dxa" w:w="1440"/>
          </w:tcPr>
          <w:p>
            <w:r>
              <w:t>8773</w:t>
            </w:r>
          </w:p>
        </w:tc>
        <w:tc>
          <w:tcPr>
            <w:tcW w:type="dxa" w:w="3120"/>
          </w:tcPr>
          <w:p>
            <w:r>
              <w:t>project-creation</w:t>
            </w:r>
          </w:p>
        </w:tc>
        <w:tc>
          <w:tcPr>
            <w:tcW w:type="dxa" w:w="4800"/>
          </w:tcPr>
          <w:p>
            <w:r>
              <w:t>Reserved. create_app() exists but the CLI is still a stub — nothing serves yet</w:t>
            </w:r>
          </w:p>
        </w:tc>
      </w:tr>
      <w:tr>
        <w:tc>
          <w:tcPr>
            <w:tcW w:type="dxa" w:w="1440"/>
          </w:tcPr>
          <w:p>
            <w:r>
              <w:t>8774</w:t>
            </w:r>
          </w:p>
        </w:tc>
        <w:tc>
          <w:tcPr>
            <w:tcW w:type="dxa" w:w="3120"/>
          </w:tcPr>
          <w:p>
            <w:r>
              <w:t>fulcrum-replacement</w:t>
            </w:r>
          </w:p>
        </w:tc>
        <w:tc>
          <w:tcPr>
            <w:tcW w:type="dxa" w:w="4800"/>
          </w:tcPr>
          <w:p>
            <w:r>
              <w:t>Reserved only. No pyproject.toml or app code yet — design docs only</w:t>
            </w:r>
          </w:p>
        </w:tc>
      </w:tr>
    </w:tbl>
    <w:p>
      <w:pPr>
        <w:spacing w:after="120" w:before="180"/>
      </w:pPr>
      <w:r>
        <w:rPr>
          <w:rFonts w:ascii="Arial" w:cs="Arial" w:eastAsia="Arial" w:hAnsi="Arial"/>
          <w:b/>
          <w:bCs/>
          <w:color w:val="1A1A1A"/>
          <w:sz w:val="22"/>
          <w:szCs w:val="22"/>
        </w:rPr>
        <w:t>Note: Avoid port 8766 — silently reserved at the OS level on this machine (visible via netstat as LISTEN on 127.0.0.1:8766 with no lsof-visible owner). The claude-sync daemon binds 127.0.0.1:8866 (not a portfolio app server, but it reserves the port).</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7. Forward Roadmap</w:t>
      </w:r>
    </w:p>
    <w:p>
      <w:pPr>
        <w:spacing w:after="120" w:before="60"/>
      </w:pPr>
      <w:r>
        <w:rPr>
          <w:rFonts w:ascii="Arial" w:cs="Arial" w:eastAsia="Arial" w:hAnsi="Arial"/>
          <w:color w:val="1A1A1A"/>
          <w:sz w:val="22"/>
          <w:szCs w:val="22"/>
        </w:rPr>
        <w:t xml:space="preserve">Open items and planned work across the portfolio.</w:t>
      </w:r>
    </w:p>
    <w:p>
      <w:pPr>
        <w:spacing w:before="80"/>
      </w:pPr>
    </w:p>
    <w:p>
      <w:pPr>
        <w:pStyle w:val="Heading2"/>
        <w:spacing w:after="120" w:before="280"/>
      </w:pPr>
      <w:r>
        <w:rPr>
          <w:rFonts w:ascii="Arial" w:cs="Arial" w:eastAsia="Arial" w:hAnsi="Arial"/>
          <w:b/>
          <w:bCs/>
          <w:color w:val="2E75B6"/>
          <w:sz w:val="26"/>
          <w:szCs w:val="26"/>
        </w:rPr>
        <w:t xml:space="preserve">Near-Term (Active)</w:t>
      </w:r>
    </w:p>
    <w:p>
      <w:pPr>
        <w:pStyle w:val="ListParagraph"/>
        <w:numPr>
          <w:ilvl w:val="0"/>
          <w:numId w:val="1"/>
        </w:numPr>
        <w:spacing w:after="40" w:before="40"/>
      </w:pPr>
      <w:r>
        <w:rPr>
          <w:rFonts w:ascii="Arial" w:cs="Arial" w:eastAsia="Arial" w:hAnsi="Arial"/>
          <w:color w:val="1A1A1A"/>
          <w:sz w:val="22"/>
          <w:szCs w:val="22"/>
        </w:rPr>
        <w:t>rfp-automation / OneDrive — the dependency is severed and the last local read path is now migrated; what remains is cleanup, not an outage. History: the macOS File Provider remounted the SpectrumSolutionsInc SharePoint library on 2026-08-10 into four mount points, and the canonical one every RFP_PROJECT_ROOTS path targeted lost the UMCS and MRR libraries. Because discover_configured_projects skipped a missing root silently, the live dashboard registry collapsed from 230 projects to 1 and was rewritten that way every poll, which stuck a real amendment on an active bid in needs_review with the operator’s manual-merge path blocked too, since the merge resolver reads the same degraded list. Repointing RFP_PROJECT_ROOTS at the fully-synced “SpectrumSolutionsInc 2” duplicate restored discovery to 232 projects with no data lost, but it was a workaround. It then got worse: on 2026-08-14 OneDrive was found fully uninstalled — no process, no app bundle, CloudStorage mounts reduced to empty shells — and by 08-15 CloudStorage held no library mounts at all. The structural answer landed on 2026-08-15 as slice 10 of the Graph Files migration (10-deliverable-output-relocation.md), a tenth slice the original nine-slice plan did not have: it routes discover_configured_projects through discover_projects_graph for Graph-backend-enabled roots, and relocates everything resolve_project_output_dir governs — generated deliverables plus status files, QC context, and regeneration-queue rebuilds — from the OneDrive-synced tree into GraphCache’s own local mirror, with the three marquee writers pushing through the crash-safe outbox under hand-edit protection and every other writer swept at the end of each process_project run, sha256-compared so an unchanged poll costs nothing. The governing invariant is that a Graph-backend-enabled root whose resolution fails raises GraphOutputUnavailable or degrades to “nothing found” rather than falling back to the OneDrive tree, because the fallback does not fail loudly — it silently creates orphaned local content, or hangs. Slice 10 left the dashboard’s project-record walk uncovered, and on 2026-08-16 that gap became a live outage: the walk was still reading the local tree when the File Provider’s readdir hung, pegging the watcher and dashboard at 100% CPU and blanking every page. The overnight response into 08-17 migrated it — the record builder behind /api/dashboard, /api/intake and /api/followups, the remaining summary-directory walkers, and the opportunity queue loader now route Graph-enabled roots through GraphCache with no live-mount I/O, and _record_search_roots keeps a Graph-enabled root without a local existence probe, so an unmounted root can no longer collapse the dashboard to zero. The husk reaper, a destructive local rmtree sweep, was fenced off Graph-enabled roots rather than migrated, hardened over five review rounds to fail closed; a Graph-native reap is follow-on work. The output-directory resolver also stopped assuming the Cyber layout, probing the remote index for whichever layout actually holds run_status.json after always building Cyber had silently dropped 70 legacy-layout projects. A server fix and a latency pass came with it: the dashboard handler now speaks HTTP/1.1 explicitly (observed, not proven causal — under the stdlib HTTP/1.0 default roughly 20 stuck-ESTABLISHED sockets accumulated and every request after the first hung), the records cache is single-flight with stale-while-revalidate on a 120-second TTL and pre-warms at startup, heavy payloads revalidate in the background, intake enrichment is time-boxed to four seconds, and the cache layer dropped a per-call whole-index deepcopy, a children-map rebuild over 65,000 entries per resolve, and a 55 MB index rewrite per project. A second false-alarm outage followed on 2026-08-17, and again the fix was to the monitoring rather than the system: the dashboard-healthcheck agent had spent the night kickstarting a dashboard that was never unhealthy, because /healthz returned 503 whenever a Graph-enabled root’s local mount was unreachable — the exact condition the migration exists to make irrelevant — and its monitor probe blocked past the 15-second watchdog timeout on every post-restart cold build, so each restart guaranteed the next. The deep check now excludes Graph-enabled roots from the local mount probe, serves the monitor check from cached records without ever building inline, self-recovers through a single guarded background revalidation worker, and escalates to a real 503 only through grace-gated failure tracking, while a new graph_indexes check surfaces per-root index outages that a healthy portfolio count would otherwise mask. Cache correctness under concurrent mutation was fenced the same day — a generation counter guards every records and payload store, so a build spanning a reviewer POST’s invalidation still serves its own caller but never repopulates the shared caches with pre-mutation data — and /api/intake and /api/followups, the last heavy read-only payloads outside the caching policy, moved onto 120-second background revalidation, taking intake from 4.2 seconds to roughly 4 milliseconds warm. A project-paths sidecar retained from each successful record walk now lets a project-detail click read one project’s JSON directly instead of repeating the entire Graph-backed portfolio walk for a single slug. Current state as of 2026-08-18: /healthz is ok on every check including the new graph_indexes gate, project_roots reports 0 configured because Graph-enabled roots are no longer probed locally, monitor_payload reports 248 projects, monitor_dashboard.json holds 250, and the watcher heartbeat is current. One finding worth carrying: monitor_payload reports ok from the payload’s shape and never its count, so that gate would not have caught the original registry collapse and still would not. Remaining follow-on, documented rather than fixed: the end-of-run sweep never propagates local deletes (no delete operation exists in the write-through layer, matching the standing write-through-never-deletes policy, likely rooted in SharePoint retention holds); hydration is best-effort per file, so a transient hiccup can make a real deliverable read as temporarily missing; amendment_review.py, cmd_validate’s live-draft glob, governing_spec_request.py’s RFI fallback, and the default-off comment-fixer still derive output paths independently; and three SENTRY items stay open — a CorruptDownload size mismatch pending an etag-confirmed re-fetch; a 500 MB download ceiling that still reuses the PDF parse guard with no independent knob, so any larger file reads as permanently missing; and the watcher heartbeat freeze, which on 2026-08-17 gained its first concrete code-level candidate — missing_docs.scan’s synchronous os.scandir runs before the heartbeat write with no Graph-backend gate, making it the one walker the dashboard read-path migration never covered — queued rather than applied, since the fix changes failure isolation for a core per-poll sweep. The 2026-08-16 deep-scan zero-projects anomaly was closed as resolved without ever being root-caused. Slice 09 — deleting the OneDrive-workaround code outright — remains blocked on the pilot soak.</w:t>
      </w:r>
    </w:p>
    <w:p>
      <w:pPr>
        <w:pStyle w:val="ListParagraph"/>
        <w:numPr>
          <w:ilvl w:val="0"/>
          <w:numId w:val="1"/>
        </w:numPr>
        <w:spacing w:after="40" w:before="40"/>
      </w:pPr>
      <w:r>
        <w:rPr>
          <w:rFonts w:ascii="Arial" w:cs="Arial" w:eastAsia="Arial" w:hAnsi="Arial"/>
          <w:color w:val="1A1A1A"/>
          <w:sz w:val="22"/>
          <w:szCs w:val="22"/>
        </w:rPr>
        <w:t>email-processor — decide the Graph credential question, then run Plans 2 and 3. The 2026-08-14 spec (round 4, closed to further abstract review) moves the vault, inbox, and PP source off the deadlocking OneDrive mount onto Graph Files, and Plan 1's standalone graph/ module is merged with zero wiring into the live pipeline, watcher, or webserver. A 2026-08-15 correctness pass hardened that module while it is still unwired, and its headline fix would have broken the first real run: get_item_by_path built /items/root:/{path} for the drive-root bootstrap where Graph's actual syntax is /root:/{path} — found by reading Microsoft's documentation, not by a test, which is the kind of bug a fully-mocked suite structurally cannot catch. The same pass closed a path-traversal hole in push (an absolute right-hand side wins in path division, so cache_dir / "/etc/passwd" evaluates to /etc/passwd and the existing equality check could not catch it), cascaded moved-outside-root cleanup to tracked descendants, and stopped resolve/sync holding root_lock across network calls per graph/lock.py's own contract — which exposed and then closed a concurrent-download tmp-filename collision and a slow-download clobber. Four further concurrency findings were evaluated and deliberately left open: out-of-order delta-token persistence, resurrect-on-delete, full-resync pruning racing a concurrent resolve/push, and symlink-based path-confinement escape. All are non-corrupting with Graph as the source of truth, the deployment is single-writer-per-root regardless, and closing them properly needs a coarser whole-sync lock — a real design addition, tracked rather than improvised. Implementation stays gated past the credentials step on one decision that is Owen's to make with IT/compliance input, not something a successful connection settles: reuse rfp-automation's existing certificate, app registration, and Sites.Selected grant, or provision a separate one for this app — and whether SENTRY's tamper-evident audit logging, which this design otherwise omits, should apply here too. A pre-existing VaultIndex name-staleness bug, the same class the dedup index was just fixed for, is filed and still open.</w:t>
      </w:r>
    </w:p>
    <w:p>
      <w:pPr>
        <w:pStyle w:val="ListParagraph"/>
        <w:numPr>
          <w:ilvl w:val="0"/>
          <w:numId w:val="1"/>
        </w:numPr>
        <w:spacing w:after="40" w:before="40"/>
      </w:pPr>
      <w:r>
        <w:rPr>
          <w:rFonts w:ascii="Arial" w:cs="Arial" w:eastAsia="Arial" w:hAnsi="Arial"/>
          <w:color w:val="1A1A1A"/>
          <w:sz w:val="22"/>
          <w:szCs w:val="22"/>
        </w:rPr>
        <w:t>scribe — validate the new screen-share auto-detect extension in real meetings, and decide how it is distributed. Built 2026-08-14 as an MV3 Chrome/Edge extension under extension/, entirely client-side with no backend changes; detection rests on text patterns in Meet and Teams-in-browser UI, which is exactly the sort of thing a vendor UI refresh breaks silently, and the manual Capture screen button is the deliberate fallback. It is currently load-unpacked, so it does not auto-update alongside the web app — a version skew the code already accommodates in one place — and a changed Scribe host or port means redoing the one-time origin grant. Zoom and the Teams desktop app stay out of scope by construction.</w:t>
      </w:r>
    </w:p>
    <w:p>
      <w:pPr>
        <w:pStyle w:val="ListParagraph"/>
        <w:numPr>
          <w:ilvl w:val="0"/>
          <w:numId w:val="1"/>
        </w:numPr>
        <w:spacing w:after="40" w:before="40"/>
      </w:pPr>
      <w:r>
        <w:rPr>
          <w:rFonts w:ascii="Arial" w:cs="Arial" w:eastAsia="Arial" w:hAnsi="Arial"/>
          <w:color w:val="1A1A1A"/>
          <w:sz w:val="22"/>
          <w:szCs w:val="22"/>
        </w:rPr>
        <w:t>floor-plan-editor — locate it. It is in the registry but exists nowhere on this Mac, is gitignored with zero tracked files, and appears in none of the migration batches. Check the Mac Studio and Time Machine.</w:t>
      </w:r>
    </w:p>
    <w:p>
      <w:pPr>
        <w:pStyle w:val="ListParagraph"/>
        <w:numPr>
          <w:ilvl w:val="0"/>
          <w:numId w:val="1"/>
        </w:numPr>
        <w:spacing w:after="40" w:before="40"/>
      </w:pPr>
      <w:r>
        <w:rPr>
          <w:rFonts w:ascii="Arial" w:cs="Arial" w:eastAsia="Arial" w:hAnsi="Arial"/>
          <w:color w:val="1A1A1A"/>
          <w:sz w:val="22"/>
          <w:szCs w:val="22"/>
        </w:rPr>
        <w:t>ssi-design-system — add scribe as a tracked apps.json consumer (it carries a bundle but drifts on every rebuild), and decide what to do about the enabled floor-plan-editor entry, which has no directory to sync to. The stale-_root bug that made sync.py a no-op was fixed 2026-08-06.</w:t>
      </w:r>
    </w:p>
    <w:p>
      <w:pPr>
        <w:pStyle w:val="ListParagraph"/>
        <w:numPr>
          <w:ilvl w:val="0"/>
          <w:numId w:val="1"/>
        </w:numPr>
        <w:spacing w:after="40" w:before="40"/>
      </w:pPr>
      <w:r>
        <w:rPr>
          <w:rFonts w:ascii="Arial" w:cs="Arial" w:eastAsia="Arial" w:hAnsi="Arial"/>
          <w:color w:val="1A1A1A"/>
          <w:sz w:val="22"/>
          <w:szCs w:val="22"/>
        </w:rPr>
        <w:t>pocket-probe — v0 PCB layout in KiCad; field-appliance enclosure design.</w:t>
      </w:r>
    </w:p>
    <w:p>
      <w:pPr>
        <w:pStyle w:val="ListParagraph"/>
        <w:numPr>
          <w:ilvl w:val="0"/>
          <w:numId w:val="1"/>
        </w:numPr>
        <w:spacing w:after="40" w:before="40"/>
      </w:pPr>
      <w:r>
        <w:rPr>
          <w:rFonts w:ascii="Arial" w:cs="Arial" w:eastAsia="Arial" w:hAnsi="Arial"/>
          <w:color w:val="1A1A1A"/>
          <w:sz w:val="22"/>
          <w:szCs w:val="22"/>
        </w:rPr>
        <w:t>ethernet-link-analyzer — Phase 4: long-duration monitoring, ARP host inventory, baseline/drift anomaly detection (Phases 1–3 complete).</w:t>
      </w:r>
    </w:p>
    <w:p>
      <w:pPr>
        <w:pStyle w:val="ListParagraph"/>
        <w:numPr>
          <w:ilvl w:val="0"/>
          <w:numId w:val="1"/>
        </w:numPr>
        <w:spacing w:after="40" w:before="40"/>
      </w:pPr>
      <w:r>
        <w:rPr>
          <w:rFonts w:ascii="Arial" w:cs="Arial" w:eastAsia="Arial" w:hAnsi="Arial"/>
          <w:color w:val="1A1A1A"/>
          <w:sz w:val="22"/>
          <w:szCs w:val="22"/>
        </w:rPr>
        <w:t>cert-manager — grow the test suite (7 tests today, the thinnest of any production-facing app here); write-back for cert updates.</w:t>
      </w:r>
    </w:p>
    <w:p>
      <w:pPr>
        <w:pStyle w:val="ListParagraph"/>
        <w:numPr>
          <w:ilvl w:val="0"/>
          <w:numId w:val="1"/>
        </w:numPr>
        <w:spacing w:after="40" w:before="40"/>
      </w:pPr>
      <w:r>
        <w:rPr>
          <w:rFonts w:ascii="Arial" w:cs="Arial" w:eastAsia="Arial" w:hAnsi="Arial"/>
          <w:color w:val="1A1A1A"/>
          <w:sz w:val="22"/>
          <w:szCs w:val="22"/>
        </w:rPr>
        <w:t>niagara-llm (CASCADE) — close the pilot-pending gates: real Niagara histories, alarms, and a sustained soak test on an authorized station.</w:t>
      </w:r>
    </w:p>
    <w:p>
      <w:pPr>
        <w:pStyle w:val="ListParagraph"/>
        <w:numPr>
          <w:ilvl w:val="0"/>
          <w:numId w:val="1"/>
        </w:numPr>
        <w:spacing w:after="40" w:before="40"/>
      </w:pPr>
      <w:r>
        <w:rPr>
          <w:rFonts w:ascii="Arial" w:cs="Arial" w:eastAsia="Arial" w:hAnsi="Arial"/>
          <w:color w:val="1A1A1A"/>
          <w:sz w:val="22"/>
          <w:szCs w:val="22"/>
        </w:rPr>
        <w:t>siem-forwarder — the design changed shape on 2026-08-11 in response to PNNL’s answer that the forwarder must capture all RS-485 bus traffic, not only points already monitored elsewhere. SDD v1.5 retired the ride-along point-COV pattern outright and v1.6 retired alarm forwarding as well, leaving the receive-only passive MS/TP listener — a second serial port jumpered onto the live trunk, running a custom frame state machine and BACnet APDU decoder not layered on Tridium’s driver — as the module’s sole collector. Non-interference is redefined with it: electrical and receive-only invariants (never transmit, no double-termination on a mid-segment tap, stay inside the trunk’s unit-load budget) plus an admission-control hook the current self-throttle does not have, since it gates already-decoded events and cannot protect the capture path. v1.7 confirmed BISerialService reachability, exclusive port ownership (the two-port jumper is the only route, not merely the safer one), and the serial-port licensing caveat as low-risk pending a real JACE’s License Manager; the SDD is now v1.8 (draft) with listener test cases T13–T16. 2026-08-12 was documentation-only and split the SDD in two: a customer-facing siemForwarder-SDD.docx (Section 11 and Appendices A/B dropped, 12 and 13 renumbered to 11 and 12 throughout, Revision History removed) and siemForwarder-SDD-Internal.docx, which keeps Section 11’s findings in the confirmed tense that matches the committed skeleton. The two deliberately disagree — the customer copy calls fixes the source already contains “anticipated” — so check which variant you are editing. Test case T12 was also split, since its original criterion needed MS/TP metrics the Phase 2 listener does not yet produce: T12 now covers pre-listener metrics and a new T17 re-runs non-interference with the listener in place. Remaining work: write MstpPassiveListener.java (it does not exist yet), delete the obsolete RideAlongSubscriber.java, spike line-rate decode cost on a busy 38.4k/76.8k trunk — the design’s primary risk — and stand up an MS/TP bench, since the portfolio’s virtual-devices fleet is BACnet/IP and does not exercise this path. The baseline module still needs binding to a target Niagara 4.15.1 build (slot-o-matic, TLS trust store) and cannot be build-verified on this Mac. The pilot cost proposal to PNNL (12 Aug 2026, 60-day validity) prices the two phases at a combined 272–448 hrs / $62,560–$103,040; the repo’s own README.md still describes the retired design and is stale against the SDD.</w:t>
      </w:r>
    </w:p>
    <w:p>
      <w:pPr>
        <w:pStyle w:val="ListParagraph"/>
        <w:numPr>
          <w:ilvl w:val="0"/>
          <w:numId w:val="1"/>
        </w:numPr>
        <w:spacing w:after="40" w:before="40"/>
      </w:pPr>
      <w:r>
        <w:rPr>
          <w:rFonts w:ascii="Arial" w:cs="Arial" w:eastAsia="Arial" w:hAnsi="Arial"/>
          <w:color w:val="1A1A1A"/>
          <w:sz w:val="22"/>
          <w:szCs w:val="22"/>
        </w:rPr>
        <w:t>project-creation — wire the CLI's run/uvicorn path so the reserved port 8773 actually serves.</w:t>
      </w:r>
    </w:p>
    <w:p>
      <w:pPr>
        <w:pStyle w:val="ListParagraph"/>
        <w:numPr>
          <w:ilvl w:val="0"/>
          <w:numId w:val="1"/>
        </w:numPr>
        <w:spacing w:after="40" w:before="40"/>
      </w:pPr>
      <w:r>
        <w:rPr>
          <w:rFonts w:ascii="Arial" w:cs="Arial" w:eastAsia="Arial" w:hAnsi="Arial"/>
          <w:color w:val="1A1A1A"/>
          <w:sz w:val="22"/>
          <w:szCs w:val="22"/>
        </w:rPr>
        <w:t>cyber-brain — mature the v0.1 Graph-ingestion prototype (briefs, cited Q&amp;A, digests) toward production use; quiet since 2026-07.</w:t>
      </w:r>
    </w:p>
    <w:p>
      <w:pPr>
        <w:pStyle w:val="ListParagraph"/>
        <w:numPr>
          <w:ilvl w:val="0"/>
          <w:numId w:val="1"/>
        </w:numPr>
        <w:spacing w:after="40" w:before="40"/>
      </w:pPr>
      <w:r>
        <w:rPr>
          <w:rFonts w:ascii="Arial" w:cs="Arial" w:eastAsia="Arial" w:hAnsi="Arial"/>
          <w:color w:val="1A1A1A"/>
          <w:sz w:val="22"/>
          <w:szCs w:val="22"/>
        </w:rPr>
        <w:t>rfp-automation — roll out GovWin IntelliSearch ingest. The decision landed on 2026-08-09: the folder-polling wiring added the day before was removed (it depended on a Power Automate flow never verified to exist) and detection moved into the existing rfp-intake mailbox poll, where the operator had been forwarding the digests all along. It still ships off, gated by RFP_GOVWIN_MAILBOX_INGEST_ENABLED — kept deliberately separate from the already-enabled RFP_INBOX_INGEST_ENABLED so deploying the code cannot start auto-creating projects and pulling real SAM.gov downloads with no rollout control. Remaining work is the staged enablement itself: dry-run against live digests, then turn the gate on.</w:t>
      </w:r>
    </w:p>
    <w:p>
      <w:pPr>
        <w:pStyle w:val="ListParagraph"/>
        <w:numPr>
          <w:ilvl w:val="0"/>
          <w:numId w:val="1"/>
        </w:numPr>
        <w:spacing w:after="40" w:before="40"/>
      </w:pPr>
      <w:r>
        <w:rPr>
          <w:rFonts w:ascii="Arial" w:cs="Arial" w:eastAsia="Arial" w:hAnsi="Arial"/>
          <w:color w:val="1A1A1A"/>
          <w:sz w:val="22"/>
          <w:szCs w:val="22"/>
        </w:rPr>
        <w:t>outlook-followup — fix or retire. Not the stub the registry called it (~1,300 LOC, real README, working webpack build), but not working either: its Graph half is dead because mailbox.js passes a callback to the promise-only Office.auth.getAccessToken, and storage.addItem() dedups on a conversationId that is null at compose time. Needs both defects fixed, a test suite, and a deployment call.</w:t>
      </w:r>
    </w:p>
    <w:p>
      <w:pPr>
        <w:pStyle w:val="Heading2"/>
        <w:spacing w:after="120" w:before="280"/>
      </w:pPr>
      <w:r>
        <w:rPr>
          <w:rFonts w:ascii="Arial" w:cs="Arial" w:eastAsia="Arial" w:hAnsi="Arial"/>
          <w:b/>
          <w:bCs/>
          <w:color w:val="2E75B6"/>
          <w:sz w:val="26"/>
          <w:szCs w:val="26"/>
        </w:rPr>
        <w:t xml:space="preserve">Medium-Term (Planned)</w:t>
      </w:r>
    </w:p>
    <w:p>
      <w:pPr>
        <w:pStyle w:val="ListParagraph"/>
        <w:numPr>
          <w:ilvl w:val="0"/>
          <w:numId w:val="1"/>
        </w:numPr>
        <w:spacing w:after="40" w:before="40"/>
      </w:pPr>
      <w:r>
        <w:rPr>
          <w:rFonts w:ascii="Arial" w:cs="Arial" w:eastAsia="Arial" w:hAnsi="Arial"/>
          <w:color w:val="1A1A1A"/>
          <w:sz w:val="22"/>
          <w:szCs w:val="22"/>
        </w:rPr>
        <w:t>digital-twin — cut a tagged release; the line has run from rev 1.10 to rev 2.15 entirely under [Unreleased], with 1.9 still the last tagged version.</w:t>
      </w:r>
    </w:p>
    <w:p>
      <w:pPr>
        <w:pStyle w:val="ListParagraph"/>
        <w:numPr>
          <w:ilvl w:val="0"/>
          <w:numId w:val="1"/>
        </w:numPr>
        <w:spacing w:after="40" w:before="40"/>
      </w:pPr>
      <w:r>
        <w:rPr>
          <w:rFonts w:ascii="Arial" w:cs="Arial" w:eastAsia="Arial" w:hAnsi="Arial"/>
          <w:color w:val="1A1A1A"/>
          <w:sz w:val="22"/>
          <w:szCs w:val="22"/>
        </w:rPr>
        <w:t>digital-twin — bring barracks-cep FDD coverage to parity with office-building's 65 detectors; land the Supervisor backup as a selectable third twin model.</w:t>
      </w:r>
    </w:p>
    <w:p>
      <w:pPr>
        <w:pStyle w:val="ListParagraph"/>
        <w:numPr>
          <w:ilvl w:val="0"/>
          <w:numId w:val="1"/>
        </w:numPr>
        <w:spacing w:after="40" w:before="40"/>
      </w:pPr>
      <w:r>
        <w:rPr>
          <w:rFonts w:ascii="Arial" w:cs="Arial" w:eastAsia="Arial" w:hAnsi="Arial"/>
          <w:color w:val="1A1A1A"/>
          <w:sz w:val="22"/>
          <w:szCs w:val="22"/>
        </w:rPr>
        <w:t>ssi-design-system — roll out to the remaining SSi web apps beyond the project-tracking pilot.</w:t>
      </w:r>
    </w:p>
    <w:p>
      <w:pPr>
        <w:pStyle w:val="ListParagraph"/>
        <w:numPr>
          <w:ilvl w:val="0"/>
          <w:numId w:val="1"/>
        </w:numPr>
        <w:spacing w:after="40" w:before="40"/>
      </w:pPr>
      <w:r>
        <w:rPr>
          <w:rFonts w:ascii="Arial" w:cs="Arial" w:eastAsia="Arial" w:hAnsi="Arial"/>
          <w:color w:val="1A1A1A"/>
          <w:sz w:val="22"/>
          <w:szCs w:val="22"/>
        </w:rPr>
        <w:t>email-processor → past-performance integration — auto-surface relevant PP when triaging solicitations.</w:t>
      </w:r>
    </w:p>
    <w:p>
      <w:pPr>
        <w:pStyle w:val="ListParagraph"/>
        <w:numPr>
          <w:ilvl w:val="0"/>
          <w:numId w:val="1"/>
        </w:numPr>
        <w:spacing w:after="40" w:before="40"/>
      </w:pPr>
      <w:r>
        <w:rPr>
          <w:rFonts w:ascii="Arial" w:cs="Arial" w:eastAsia="Arial" w:hAnsi="Arial"/>
          <w:color w:val="1A1A1A"/>
          <w:sz w:val="22"/>
          <w:szCs w:val="22"/>
        </w:rPr>
        <w:t>project-tracking — build the designed overnight portfolio digest (spec written 2026-08-07, not yet implemented); MS Project schedule diff UI; re-enable the EAC worksheet, which is built and API-backed but hidden behind SHOW_EAC_WORKSHEET = false with its e2e tests skipped to match. Sage-only ingestion completed its Phase 3 cutover 2026-08-07, retiring the funding/labor-PDF report pipeline; the now-unused pdfplumber dependency is still declared in pyproject.toml and can be dropped. The weekly Executing Review went cache-backed 2026-08-08, prewarmed hourly by a fifth LaunchAgent (com.ssi.project-tracking-exec-sync), and open-PO commitment is now attributed down to the phase/CLIN via pchord.phsnum. On 2026-08-10 completion source became job-level rather than per-user (shared_job_state, with a one-time migration), and nine cloud_root chokepoints were made to degrade gracefully on a stuck OneDrive mount — the worst of them had been crash-looping every 60s poll under auto_refresh_loop.</w:t>
      </w:r>
    </w:p>
    <w:p>
      <w:pPr>
        <w:pStyle w:val="ListParagraph"/>
        <w:numPr>
          <w:ilvl w:val="0"/>
          <w:numId w:val="1"/>
        </w:numPr>
        <w:spacing w:after="40" w:before="40"/>
      </w:pPr>
      <w:r>
        <w:rPr>
          <w:rFonts w:ascii="Arial" w:cs="Arial" w:eastAsia="Arial" w:hAnsi="Arial"/>
          <w:color w:val="1A1A1A"/>
          <w:sz w:val="22"/>
          <w:szCs w:val="22"/>
        </w:rPr>
        <w:t>network-scanner — scan scheduling (BACnet ReadProperty enumeration shipped).</w:t>
      </w:r>
    </w:p>
    <w:p>
      <w:pPr>
        <w:pStyle w:val="ListParagraph"/>
        <w:numPr>
          <w:ilvl w:val="0"/>
          <w:numId w:val="1"/>
        </w:numPr>
        <w:spacing w:after="40" w:before="40"/>
      </w:pPr>
      <w:r>
        <w:rPr>
          <w:rFonts w:ascii="Arial" w:cs="Arial" w:eastAsia="Arial" w:hAnsi="Arial"/>
          <w:color w:val="1A1A1A"/>
          <w:sz w:val="22"/>
          <w:szCs w:val="22"/>
        </w:rPr>
        <w:t>fulcrum-replacement — move from design (rev 4, 2026-07-02) to implementation; offline-durability risk spike first; proposed port 8774.</w:t>
      </w:r>
    </w:p>
    <w:p>
      <w:pPr>
        <w:pStyle w:val="ListParagraph"/>
        <w:numPr>
          <w:ilvl w:val="0"/>
          <w:numId w:val="1"/>
        </w:numPr>
        <w:spacing w:after="40" w:before="40"/>
      </w:pPr>
      <w:r>
        <w:rPr>
          <w:rFonts w:ascii="Arial" w:cs="Arial" w:eastAsia="Arial" w:hAnsi="Arial"/>
          <w:color w:val="1A1A1A"/>
          <w:sz w:val="22"/>
          <w:szCs w:val="22"/>
        </w:rPr>
        <w:t>stream-deck — decide whether SSi Deck graduates into the project registry; it already builds and validates.</w:t>
      </w:r>
    </w:p>
    <w:p>
      <w:pPr>
        <w:pStyle w:val="Heading2"/>
        <w:spacing w:after="120" w:before="280"/>
      </w:pPr>
      <w:r>
        <w:rPr>
          <w:rFonts w:ascii="Arial" w:cs="Arial" w:eastAsia="Arial" w:hAnsi="Arial"/>
          <w:b/>
          <w:bCs/>
          <w:color w:val="2E75B6"/>
          <w:sz w:val="26"/>
          <w:szCs w:val="26"/>
        </w:rPr>
        <w:t xml:space="preserve">Strategic / Long-Term</w:t>
      </w:r>
    </w:p>
    <w:p>
      <w:pPr>
        <w:pStyle w:val="ListParagraph"/>
        <w:numPr>
          <w:ilvl w:val="0"/>
          <w:numId w:val="1"/>
        </w:numPr>
        <w:spacing w:after="40" w:before="40"/>
      </w:pPr>
      <w:r>
        <w:rPr>
          <w:rFonts w:ascii="Arial" w:cs="Arial" w:eastAsia="Arial" w:hAnsi="Arial"/>
          <w:color w:val="1A1A1A"/>
          <w:sz w:val="22"/>
          <w:szCs w:val="22"/>
        </w:rPr>
        <w:t>Unified SSi portal — consolidate project-tracking, past-performance, cert-manager, and email-processor under a single auth/design-system shell.</w:t>
      </w:r>
    </w:p>
    <w:p>
      <w:pPr>
        <w:pStyle w:val="ListParagraph"/>
        <w:numPr>
          <w:ilvl w:val="0"/>
          <w:numId w:val="1"/>
        </w:numPr>
        <w:spacing w:after="40" w:before="40"/>
      </w:pPr>
      <w:r>
        <w:rPr>
          <w:rFonts w:ascii="Arial" w:cs="Arial" w:eastAsia="Arial" w:hAnsi="Arial"/>
          <w:color w:val="1A1A1A"/>
          <w:sz w:val="22"/>
          <w:szCs w:val="22"/>
        </w:rPr>
        <w:t>pocket-probe v1.0 — production PCB, STM32 firmware with USB-C + status LED; field-deployable device.</w:t>
      </w:r>
    </w:p>
    <w:p>
      <w:pPr>
        <w:pStyle w:val="ListParagraph"/>
        <w:numPr>
          <w:ilvl w:val="0"/>
          <w:numId w:val="1"/>
        </w:numPr>
        <w:spacing w:after="40" w:before="40"/>
      </w:pPr>
      <w:r>
        <w:rPr>
          <w:rFonts w:ascii="Arial" w:cs="Arial" w:eastAsia="Arial" w:hAnsi="Arial"/>
          <w:color w:val="1A1A1A"/>
          <w:sz w:val="22"/>
          <w:szCs w:val="22"/>
        </w:rPr>
        <w:t>rfp-automation → project-tracking handoff — push newly awarded opportunities straight into the tracking pipeline via project-creation.</w:t>
      </w:r>
    </w:p>
    <w:p>
      <w:pPr>
        <w:pStyle w:val="ListParagraph"/>
        <w:numPr>
          <w:ilvl w:val="0"/>
          <w:numId w:val="1"/>
        </w:numPr>
        <w:spacing w:after="40" w:before="40"/>
      </w:pPr>
      <w:r>
        <w:rPr>
          <w:rFonts w:ascii="Arial" w:cs="Arial" w:eastAsia="Arial" w:hAnsi="Arial"/>
          <w:color w:val="1A1A1A"/>
          <w:sz w:val="22"/>
          <w:szCs w:val="22"/>
        </w:rPr>
        <w:t>Consolidate the Niagara stack — niagara-config, niagara-llm, digital-twin, and siem-forwarder now form a coherent BAS product line; consider a shared release and demo story.</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8. Quick Reference Glossary</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Term</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Meaning</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UFGS 25 05 11</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Unified Facilities Guide Spec — Cybersecurity of Facility-Related Control Systems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UFGS 25 08 11</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Unified Facilities Guide Spec — Cybersecurity Commissioning of FRCS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MATOC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Multiple Award Task Order Contract (USACE vehicle for MILCON cyber work)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MRR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MATOC contract vehicle name (SSi has award)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UMCS</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Utility Monitoring and Control System — second MATOC vehicle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FRCS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Facility Related Control System — DoD term covering BAS, BCS, and OT systems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MILCON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Military Construction — DoD capital construction program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BAS/BCS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Building Automation System / Building Control System</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RMF</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Risk Management Framework — the DoD accreditation process network-scanner's audit output targets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CUI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Controlled Unclassified Information — drives local-LLM (Ollama) paths over cloud API calls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EAC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Estimate at Completion — earned-value forecasting metric</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ETC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Estimate to Complete — earned-value forecasting metric</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CPI</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Cost Performance Index (earned value / actual cost)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SPI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Schedule Performance Index (earned value / planned value)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CLIN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Contract Line Item Number — pricing structure in DoD proposals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PWS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Performance Work Statement — government contract document fetched by email-processor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JBLM</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Joint Base Lewis-McChord — site used in the kml project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DOPPEL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Product name for the digital-twin FRCS simulator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CASCADE</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Continuous Analysis, Site Commissioning &amp; Anomaly-Detection Engine — product name for niagara-llm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oBIX</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Open Building Information Exchange — the REST/XML interface CASCADE reads a Niagara station through</w:t>
            </w:r>
          </w:p>
        </w:tc>
      </w:tr>
      <w:tr>
        <w:tc>
          <w:tcPr>
            <w:tcW w:type="dxa" w:w="2200"/>
          </w:tcPr>
          <w:p>
            <w:r>
              <w:t>BQL</w:t>
            </w:r>
          </w:p>
        </w:tc>
        <w:tc>
          <w:tcPr>
            <w:tcW w:type="dxa" w:w="7160"/>
          </w:tcPr>
          <w:p>
            <w:r>
              <w:t>Baja Query Language — Niagara's query language, used for station data and history retrieval</w:t>
            </w:r>
          </w:p>
        </w:tc>
      </w:tr>
      <w:tr>
        <w:tc>
          <w:tcPr>
            <w:tcW w:type="dxa" w:w="2200"/>
          </w:tcPr>
          <w:p>
            <w:r>
              <w:t>FDD</w:t>
            </w:r>
          </w:p>
        </w:tc>
        <w:tc>
          <w:tcPr>
            <w:tcW w:type="dxa" w:w="7160"/>
          </w:tcPr>
          <w:p>
            <w:r>
              <w:t>Fault Detection &amp; Diagnostics — the detector engine in digital-twin and niagara-llm</w:t>
            </w:r>
          </w:p>
        </w:tc>
      </w:tr>
      <w:tr>
        <w:tc>
          <w:tcPr>
            <w:tcW w:type="dxa" w:w="2200"/>
          </w:tcPr>
          <w:p>
            <w:r>
              <w:t>config.bog</w:t>
            </w:r>
          </w:p>
        </w:tc>
        <w:tc>
          <w:tcPr>
            <w:tcW w:type="dxa" w:w="7160"/>
          </w:tcPr>
          <w:p>
            <w:r>
              <w:t>A Niagara station database inside a Supervisor backup; parsed by niagara-config</w:t>
            </w:r>
          </w:p>
        </w:tc>
      </w:tr>
      <w:tr>
        <w:tc>
          <w:tcPr>
            <w:tcW w:type="dxa" w:w="2200"/>
          </w:tcPr>
          <w:p>
            <w:r>
              <w:t>LLDP</w:t>
            </w:r>
          </w:p>
        </w:tc>
        <w:tc>
          <w:tcPr>
            <w:tcW w:type="dxa" w:w="7160"/>
          </w:tcPr>
          <w:p>
            <w:r>
              <w:t>Link Layer Discovery Protocol — IEEE 802.1AB; used by ethernet-link-analyzer and pocket-probe</w:t>
            </w:r>
          </w:p>
        </w:tc>
      </w:tr>
      <w:tr>
        <w:tc>
          <w:tcPr>
            <w:tcW w:type="dxa" w:w="2200"/>
          </w:tcPr>
          <w:p>
            <w:r>
              <w:t>CDP</w:t>
            </w:r>
          </w:p>
        </w:tc>
        <w:tc>
          <w:tcPr>
            <w:tcW w:type="dxa" w:w="7160"/>
          </w:tcPr>
          <w:p>
            <w:r>
              <w:t>Cisco Discovery Protocol — used alongside LLDP in ethernet-link-analyzer</w:t>
            </w:r>
          </w:p>
        </w:tc>
      </w:tr>
      <w:tr>
        <w:tc>
          <w:tcPr>
            <w:tcW w:type="dxa" w:w="2200"/>
          </w:tcPr>
          <w:p>
            <w:r>
              <w:t>macvlan</w:t>
            </w:r>
          </w:p>
        </w:tc>
        <w:tc>
          <w:tcPr>
            <w:tcW w:type="dxa" w:w="7160"/>
          </w:tcPr>
          <w:p>
            <w:r>
              <w:t>Linux Docker network mode enabling containers to appear as physical hosts on a LAN</w:t>
            </w:r>
          </w:p>
        </w:tc>
      </w:tr>
      <w:tr>
        <w:tc>
          <w:tcPr>
            <w:tcW w:type="dxa" w:w="2200"/>
          </w:tcPr>
          <w:p>
            <w:r>
              <w:t>FTS5</w:t>
            </w:r>
          </w:p>
        </w:tc>
        <w:tc>
          <w:tcPr>
            <w:tcW w:type="dxa" w:w="7160"/>
          </w:tcPr>
          <w:p>
            <w:r>
              <w:t>SQLite Full-Text Search extension v5 — used across past-performance, cyber-brain, and scribe</w:t>
            </w:r>
          </w:p>
        </w:tc>
      </w:tr>
      <w:tr>
        <w:tc>
          <w:tcPr>
            <w:tcW w:type="dxa" w:w="2200"/>
          </w:tcPr>
          <w:p>
            <w:r>
              <w:t>CMMC</w:t>
            </w:r>
          </w:p>
        </w:tc>
        <w:tc>
          <w:tcPr>
            <w:tcW w:type="dxa" w:w="7160"/>
          </w:tcPr>
          <w:p>
            <w:r>
              <w:t>Cybersecurity Maturity Model Certification — drives the no-Graph-API design in email-processor</w:t>
            </w:r>
          </w:p>
        </w:tc>
      </w:tr>
    </w:tbl>
    <w:p>
      <w:pPr>
        <w:spacing w:before="12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666666"/>
        <w:sz w:val="18"/>
        <w:szCs w:val="18"/>
      </w:rPr>
      <w:t xml:space="preserve">Dev Portfolio — Architecture &amp; Design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2026-05-26T09:30:13.652Z</dcterms:created>
  <dcterms:modified xsi:type="dcterms:W3CDTF">2026-05-26T09:30:13.652Z</dcterms:modified>
</cp:coreProperties>
</file>

<file path=docProps/custom.xml><?xml version="1.0" encoding="utf-8"?>
<Properties xmlns="http://schemas.openxmlformats.org/officeDocument/2006/custom-properties" xmlns:vt="http://schemas.openxmlformats.org/officeDocument/2006/docPropsVTypes"/>
</file>