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2026-10-06.</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8,315 tests across 348 files (current working tree, including uncommitted work)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w:t>
      </w:r>
      <w:r>
        <w:t xml:space="preserve">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10-02/03 added two code commits. The Planner comment browser now runs Playwright's Chrome for Testing on its own profile instead of the system Google Chrome and refuses to fall back, so SENTRY's automation windows are a separate app from the operator's own Chrome (81000f2) — it was reverted on 10-05 (f94576d, committed --no-verify at the operator's request):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Local main is 3 commits ahead of origin on 10-06 (the revert and two SENTRY logs, not yet pushed). Uncommitted in the working tree on 10-06 (64 paths, not yet pushed): two 2026-10-01 designs and their implementation — a cyber bid-and-growth workflow (one shared pursuit record per project and prime, feeding a contact queue, prime coverage and an award-performance report on the existing Bids &amp; Follow-ups and Primes pages; spec marked approved and implemented) and GovWin discovery review with automatic project intake for clearly qualified FRCS cyber opportunities (spec still marked proposed), plus GovWin award and prime-link modules and two launchd installers. Live state 10-06: /healthz ok, 283 projects, runtime current on fea19c7 (behind the revert, which touches only the Planner Chrome launcher and poster). 8,315 tests collected across 348 files in that working tree on 10-06, unchanged since 10-04 (8,285 across 345 on 10-02; 8,125 across 333 on 10-01; most of the increase is the uncommitted work's new test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